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14E2" w14:textId="77777777" w:rsidR="00887B68" w:rsidRDefault="00887B68" w:rsidP="00887B68">
      <w:pPr>
        <w:pageBreakBefore/>
        <w:ind w:left="6804"/>
        <w:jc w:val="center"/>
        <w:rPr>
          <w:b/>
          <w:sz w:val="28"/>
          <w:szCs w:val="28"/>
          <w:lang w:val="uk-UA"/>
        </w:rPr>
      </w:pPr>
      <w:r>
        <w:rPr>
          <w:lang w:val="uk-UA"/>
        </w:rPr>
        <w:t>(Додаток №3 до ТЗ)</w:t>
      </w:r>
    </w:p>
    <w:p w14:paraId="4D50F2B9" w14:textId="77777777" w:rsidR="00887B68" w:rsidRDefault="00887B68" w:rsidP="00887B68">
      <w:pPr>
        <w:jc w:val="center"/>
        <w:rPr>
          <w:b/>
          <w:sz w:val="28"/>
          <w:szCs w:val="28"/>
          <w:lang w:val="uk-UA"/>
        </w:rPr>
      </w:pPr>
    </w:p>
    <w:p w14:paraId="357C8E21" w14:textId="77777777" w:rsidR="00887B68" w:rsidRDefault="00887B68" w:rsidP="00887B68">
      <w:pPr>
        <w:jc w:val="center"/>
        <w:rPr>
          <w:b/>
          <w:sz w:val="28"/>
          <w:szCs w:val="28"/>
          <w:lang w:val="uk-UA"/>
        </w:rPr>
      </w:pPr>
      <w:r>
        <w:rPr>
          <w:b/>
          <w:sz w:val="28"/>
          <w:szCs w:val="28"/>
          <w:lang w:val="uk-UA"/>
        </w:rPr>
        <w:t>Інформаційна довідка</w:t>
      </w:r>
    </w:p>
    <w:p w14:paraId="0665698C" w14:textId="77777777" w:rsidR="00887B68" w:rsidRDefault="00887B68" w:rsidP="00887B68">
      <w:pPr>
        <w:suppressAutoHyphens/>
        <w:jc w:val="center"/>
        <w:rPr>
          <w:b/>
          <w:sz w:val="28"/>
          <w:szCs w:val="28"/>
          <w:lang w:val="uk-UA"/>
        </w:rPr>
      </w:pPr>
    </w:p>
    <w:p w14:paraId="7B8EE65D" w14:textId="77777777" w:rsidR="00887B68" w:rsidRDefault="00887B68" w:rsidP="00887B68">
      <w:pPr>
        <w:suppressAutoHyphens/>
        <w:jc w:val="center"/>
        <w:rPr>
          <w:b/>
          <w:sz w:val="28"/>
          <w:szCs w:val="28"/>
          <w:lang w:val="uk-UA"/>
        </w:rPr>
      </w:pPr>
      <w:r>
        <w:rPr>
          <w:b/>
          <w:sz w:val="28"/>
          <w:szCs w:val="28"/>
          <w:lang w:val="uk-UA"/>
        </w:rPr>
        <w:t>щодо обґрунтування технічних та якісних характеристик предмета закупівлі:</w:t>
      </w:r>
    </w:p>
    <w:p w14:paraId="34287B11" w14:textId="77777777" w:rsidR="00887B68" w:rsidRDefault="00887B68" w:rsidP="00887B68">
      <w:pPr>
        <w:jc w:val="center"/>
        <w:rPr>
          <w:b/>
          <w:sz w:val="28"/>
          <w:szCs w:val="28"/>
          <w:lang w:val="uk-UA"/>
        </w:rPr>
      </w:pPr>
      <w:r>
        <w:rPr>
          <w:b/>
          <w:sz w:val="28"/>
          <w:szCs w:val="28"/>
          <w:lang w:val="uk-UA"/>
        </w:rPr>
        <w:t xml:space="preserve">Послуги з технічного огляду та </w:t>
      </w:r>
      <w:proofErr w:type="spellStart"/>
      <w:r>
        <w:rPr>
          <w:b/>
          <w:sz w:val="28"/>
          <w:szCs w:val="28"/>
          <w:lang w:val="uk-UA"/>
        </w:rPr>
        <w:t>випробовувань</w:t>
      </w:r>
      <w:proofErr w:type="spellEnd"/>
      <w:r>
        <w:rPr>
          <w:b/>
          <w:sz w:val="28"/>
          <w:szCs w:val="28"/>
          <w:lang w:val="uk-UA"/>
        </w:rPr>
        <w:t xml:space="preserve"> </w:t>
      </w:r>
    </w:p>
    <w:p w14:paraId="100609A1" w14:textId="77777777" w:rsidR="00887B68" w:rsidRDefault="00887B68" w:rsidP="00887B68">
      <w:pPr>
        <w:jc w:val="center"/>
        <w:rPr>
          <w:b/>
          <w:sz w:val="28"/>
          <w:szCs w:val="28"/>
          <w:lang w:val="uk-UA"/>
        </w:rPr>
      </w:pPr>
      <w:r>
        <w:rPr>
          <w:b/>
          <w:sz w:val="28"/>
          <w:szCs w:val="28"/>
          <w:lang w:val="uk-UA"/>
        </w:rPr>
        <w:t>(Послуги з обстеження гідротехнічних споруд Трипільської ТЕС)</w:t>
      </w:r>
    </w:p>
    <w:p w14:paraId="52AC1FC8" w14:textId="77777777" w:rsidR="00887B68" w:rsidRDefault="00887B68" w:rsidP="00887B68">
      <w:pPr>
        <w:ind w:left="360"/>
        <w:jc w:val="center"/>
        <w:rPr>
          <w:sz w:val="28"/>
          <w:szCs w:val="28"/>
          <w:lang w:val="uk-UA"/>
        </w:rPr>
      </w:pPr>
      <w:r>
        <w:rPr>
          <w:sz w:val="28"/>
          <w:szCs w:val="28"/>
          <w:lang w:val="uk-UA"/>
        </w:rPr>
        <w:t>код ДК 021:2015 – 71630000-3</w:t>
      </w:r>
    </w:p>
    <w:p w14:paraId="304C21A3" w14:textId="77777777" w:rsidR="00887B68" w:rsidRDefault="00887B68" w:rsidP="00887B68">
      <w:pPr>
        <w:ind w:left="360"/>
        <w:jc w:val="center"/>
        <w:rPr>
          <w:b/>
          <w:sz w:val="28"/>
          <w:szCs w:val="28"/>
          <w:lang w:val="uk-UA"/>
        </w:rPr>
      </w:pPr>
    </w:p>
    <w:p w14:paraId="73B325DB" w14:textId="77777777" w:rsidR="00887B68" w:rsidRDefault="00887B68" w:rsidP="00887B68">
      <w:pPr>
        <w:ind w:left="360"/>
        <w:jc w:val="center"/>
        <w:rPr>
          <w:b/>
          <w:sz w:val="28"/>
          <w:szCs w:val="28"/>
          <w:lang w:val="uk-UA"/>
        </w:rPr>
      </w:pPr>
    </w:p>
    <w:p w14:paraId="3AC032E0" w14:textId="77777777" w:rsidR="00887B68" w:rsidRDefault="00887B68" w:rsidP="00887B68">
      <w:pPr>
        <w:ind w:firstLine="540"/>
        <w:jc w:val="both"/>
      </w:pPr>
      <w:r>
        <w:rPr>
          <w:lang w:val="uk-UA"/>
        </w:rPr>
        <w:t xml:space="preserve">В 2023 році необхідно виконати </w:t>
      </w:r>
      <w:proofErr w:type="spellStart"/>
      <w:r>
        <w:t>обстеження</w:t>
      </w:r>
      <w:proofErr w:type="spellEnd"/>
      <w:r>
        <w:t xml:space="preserve"> </w:t>
      </w:r>
      <w:proofErr w:type="spellStart"/>
      <w:r>
        <w:t>гідротехнічних</w:t>
      </w:r>
      <w:proofErr w:type="spellEnd"/>
      <w:r>
        <w:t xml:space="preserve"> </w:t>
      </w:r>
      <w:proofErr w:type="spellStart"/>
      <w:r>
        <w:t>споруд</w:t>
      </w:r>
      <w:proofErr w:type="spellEnd"/>
      <w:r>
        <w:t xml:space="preserve">. </w:t>
      </w:r>
      <w:proofErr w:type="spellStart"/>
      <w:r>
        <w:t>Необхідність</w:t>
      </w:r>
      <w:proofErr w:type="spellEnd"/>
      <w:r>
        <w:t xml:space="preserve"> </w:t>
      </w:r>
      <w:proofErr w:type="spellStart"/>
      <w:r>
        <w:t>виконання</w:t>
      </w:r>
      <w:proofErr w:type="spellEnd"/>
      <w:r>
        <w:t xml:space="preserve"> </w:t>
      </w:r>
      <w:proofErr w:type="spellStart"/>
      <w:r>
        <w:t>обстежень</w:t>
      </w:r>
      <w:proofErr w:type="spellEnd"/>
      <w:r>
        <w:t xml:space="preserve"> </w:t>
      </w:r>
      <w:proofErr w:type="spellStart"/>
      <w:r>
        <w:t>зумовлена</w:t>
      </w:r>
      <w:proofErr w:type="spellEnd"/>
      <w:r>
        <w:t xml:space="preserve"> </w:t>
      </w:r>
      <w:proofErr w:type="spellStart"/>
      <w:r>
        <w:t>вимогами</w:t>
      </w:r>
      <w:proofErr w:type="spellEnd"/>
      <w:r>
        <w:t xml:space="preserve"> </w:t>
      </w:r>
      <w:proofErr w:type="spellStart"/>
      <w:r>
        <w:t>наступних</w:t>
      </w:r>
      <w:proofErr w:type="spellEnd"/>
      <w:r>
        <w:t xml:space="preserve"> </w:t>
      </w:r>
      <w:proofErr w:type="spellStart"/>
      <w:r>
        <w:t>нормативних</w:t>
      </w:r>
      <w:proofErr w:type="spellEnd"/>
      <w:r>
        <w:t xml:space="preserve"> </w:t>
      </w:r>
      <w:proofErr w:type="spellStart"/>
      <w:r>
        <w:t>документів</w:t>
      </w:r>
      <w:proofErr w:type="spellEnd"/>
      <w:r>
        <w:t>:</w:t>
      </w:r>
    </w:p>
    <w:p w14:paraId="7A6CA000" w14:textId="77777777" w:rsidR="00887B68" w:rsidRDefault="00887B68" w:rsidP="00887B68">
      <w:pPr>
        <w:pStyle w:val="14"/>
        <w:tabs>
          <w:tab w:val="left" w:pos="9099"/>
        </w:tabs>
        <w:ind w:right="-81" w:firstLine="567"/>
        <w:rPr>
          <w:sz w:val="24"/>
          <w:szCs w:val="24"/>
        </w:rPr>
      </w:pPr>
      <w:r>
        <w:rPr>
          <w:sz w:val="24"/>
          <w:szCs w:val="24"/>
        </w:rPr>
        <w:t>- СОУ 40.1.21.343.:2005 п.5.4.12 огляд підводних частин гідротехнічних споруд повинен проводитись водолазами після перших двох років експлуатації, далі – за необхідності, але не рідше ніж один раз на п</w:t>
      </w:r>
      <w:r>
        <w:rPr>
          <w:sz w:val="24"/>
          <w:szCs w:val="24"/>
          <w:lang w:val="ru-RU"/>
        </w:rPr>
        <w:t>’</w:t>
      </w:r>
      <w:r>
        <w:rPr>
          <w:sz w:val="24"/>
          <w:szCs w:val="24"/>
        </w:rPr>
        <w:t>ять років;</w:t>
      </w:r>
    </w:p>
    <w:p w14:paraId="34431E08" w14:textId="77777777" w:rsidR="00887B68" w:rsidRDefault="00887B68" w:rsidP="00887B68">
      <w:pPr>
        <w:pStyle w:val="14"/>
        <w:tabs>
          <w:tab w:val="left" w:pos="9099"/>
        </w:tabs>
        <w:ind w:right="-81" w:firstLine="567"/>
        <w:rPr>
          <w:sz w:val="24"/>
          <w:szCs w:val="24"/>
          <w:lang w:val="ru-RU"/>
        </w:rPr>
      </w:pPr>
      <w:r>
        <w:rPr>
          <w:sz w:val="24"/>
          <w:szCs w:val="24"/>
        </w:rPr>
        <w:t xml:space="preserve">- СОУ 40.1.21.343.:2005 п.5.5.2 </w:t>
      </w:r>
      <w:r>
        <w:rPr>
          <w:sz w:val="24"/>
          <w:szCs w:val="24"/>
          <w:lang w:val="ru-RU"/>
        </w:rPr>
        <w:t xml:space="preserve"> д</w:t>
      </w:r>
      <w:proofErr w:type="spellStart"/>
      <w:r>
        <w:rPr>
          <w:sz w:val="24"/>
          <w:szCs w:val="24"/>
        </w:rPr>
        <w:t>ілянка</w:t>
      </w:r>
      <w:proofErr w:type="spellEnd"/>
      <w:r>
        <w:rPr>
          <w:sz w:val="24"/>
          <w:szCs w:val="24"/>
        </w:rPr>
        <w:t xml:space="preserve"> бетонного кріплення в зоні збійної течії і </w:t>
      </w:r>
      <w:proofErr w:type="spellStart"/>
      <w:r>
        <w:rPr>
          <w:sz w:val="24"/>
          <w:szCs w:val="24"/>
        </w:rPr>
        <w:t>водоворотів</w:t>
      </w:r>
      <w:proofErr w:type="spellEnd"/>
      <w:r>
        <w:rPr>
          <w:sz w:val="24"/>
          <w:szCs w:val="24"/>
        </w:rPr>
        <w:t xml:space="preserve"> повинні оглядатися водолазами з періодичністю не рідше ніж один раз на два роки</w:t>
      </w:r>
      <w:r>
        <w:rPr>
          <w:sz w:val="24"/>
          <w:szCs w:val="24"/>
          <w:lang w:val="ru-RU"/>
        </w:rPr>
        <w:t xml:space="preserve">;                                                                                                                                                                                                                                                                                                                                                                                                                                                                                                                                                                                                                                                                                                                                                                                                                                                                                                                                                                                                                                               </w:t>
      </w:r>
    </w:p>
    <w:p w14:paraId="0DE3E077" w14:textId="77777777" w:rsidR="00887B68" w:rsidRDefault="00887B68" w:rsidP="00887B68">
      <w:pPr>
        <w:pStyle w:val="14"/>
        <w:tabs>
          <w:tab w:val="left" w:pos="9099"/>
        </w:tabs>
        <w:ind w:right="-81" w:firstLine="567"/>
        <w:rPr>
          <w:sz w:val="24"/>
          <w:szCs w:val="24"/>
        </w:rPr>
      </w:pPr>
      <w:r>
        <w:rPr>
          <w:sz w:val="24"/>
          <w:szCs w:val="24"/>
        </w:rPr>
        <w:t>- ГКД 34.</w:t>
      </w:r>
      <w:r>
        <w:rPr>
          <w:sz w:val="24"/>
          <w:szCs w:val="24"/>
          <w:lang w:val="ru-RU"/>
        </w:rPr>
        <w:t>03</w:t>
      </w:r>
      <w:r>
        <w:rPr>
          <w:sz w:val="24"/>
          <w:szCs w:val="24"/>
        </w:rPr>
        <w:t>.</w:t>
      </w:r>
      <w:r>
        <w:rPr>
          <w:sz w:val="24"/>
          <w:szCs w:val="24"/>
          <w:lang w:val="ru-RU"/>
        </w:rPr>
        <w:t>106</w:t>
      </w:r>
      <w:r>
        <w:rPr>
          <w:sz w:val="24"/>
          <w:szCs w:val="24"/>
        </w:rPr>
        <w:t xml:space="preserve">:2003 п. </w:t>
      </w:r>
      <w:r>
        <w:rPr>
          <w:sz w:val="24"/>
          <w:szCs w:val="24"/>
          <w:lang w:val="ru-RU"/>
        </w:rPr>
        <w:t>3</w:t>
      </w:r>
      <w:r>
        <w:rPr>
          <w:sz w:val="24"/>
          <w:szCs w:val="24"/>
        </w:rPr>
        <w:t>.</w:t>
      </w:r>
      <w:r>
        <w:rPr>
          <w:sz w:val="24"/>
          <w:szCs w:val="24"/>
          <w:lang w:val="ru-RU"/>
        </w:rPr>
        <w:t>7</w:t>
      </w:r>
      <w:r>
        <w:rPr>
          <w:sz w:val="24"/>
          <w:szCs w:val="24"/>
        </w:rPr>
        <w:t xml:space="preserve"> З метою оцінки фактичного стану </w:t>
      </w:r>
      <w:proofErr w:type="spellStart"/>
      <w:r>
        <w:rPr>
          <w:sz w:val="24"/>
          <w:szCs w:val="24"/>
        </w:rPr>
        <w:t>гідротехічних</w:t>
      </w:r>
      <w:proofErr w:type="spellEnd"/>
      <w:r>
        <w:rPr>
          <w:sz w:val="24"/>
          <w:szCs w:val="24"/>
        </w:rPr>
        <w:t xml:space="preserve"> споруд і гідромеханічного обладнання, визначення заходів щодо забезпечення їх надійності і безпечності та </w:t>
      </w:r>
      <w:proofErr w:type="spellStart"/>
      <w:r>
        <w:rPr>
          <w:sz w:val="24"/>
          <w:szCs w:val="24"/>
        </w:rPr>
        <w:t>перевірким</w:t>
      </w:r>
      <w:proofErr w:type="spellEnd"/>
      <w:r>
        <w:rPr>
          <w:sz w:val="24"/>
          <w:szCs w:val="24"/>
        </w:rPr>
        <w:t xml:space="preserve"> організації нагляду за гідротехнічними спорудами електростанцій, здійснюються систематичні їх обмеження. Первинне централізоване обстеження проводиться під час будівництва перед наповненням водосховища і встановлення споруд </w:t>
      </w:r>
      <w:proofErr w:type="spellStart"/>
      <w:r>
        <w:rPr>
          <w:sz w:val="24"/>
          <w:szCs w:val="24"/>
        </w:rPr>
        <w:t>піднапір</w:t>
      </w:r>
      <w:proofErr w:type="spellEnd"/>
      <w:r>
        <w:rPr>
          <w:sz w:val="24"/>
          <w:szCs w:val="24"/>
        </w:rPr>
        <w:t xml:space="preserve">, наступні – за необхідності, виходячи зі стану споруд, але не менше одного разу на 5 років. </w:t>
      </w:r>
    </w:p>
    <w:p w14:paraId="7A26FA9C" w14:textId="77777777" w:rsidR="00887B68" w:rsidRDefault="00887B68" w:rsidP="00887B68">
      <w:pPr>
        <w:pStyle w:val="2"/>
        <w:spacing w:after="0" w:line="240" w:lineRule="auto"/>
        <w:ind w:left="0" w:firstLine="540"/>
        <w:jc w:val="both"/>
        <w:rPr>
          <w:sz w:val="24"/>
          <w:szCs w:val="24"/>
        </w:rPr>
      </w:pPr>
      <w:r>
        <w:rPr>
          <w:sz w:val="24"/>
          <w:szCs w:val="24"/>
        </w:rPr>
        <w:t>Виконання робіт неможливе власними силами через відсутність навченого персоналу (водолазні роботи), спеціального оснащення та дозволів.</w:t>
      </w:r>
    </w:p>
    <w:p w14:paraId="44693A84" w14:textId="77777777" w:rsidR="00887B68" w:rsidRDefault="00887B68" w:rsidP="00887B68">
      <w:pPr>
        <w:ind w:firstLine="540"/>
        <w:jc w:val="both"/>
        <w:rPr>
          <w:szCs w:val="28"/>
          <w:lang w:val="uk-UA"/>
        </w:rPr>
      </w:pPr>
      <w:r>
        <w:rPr>
          <w:szCs w:val="28"/>
          <w:lang w:val="uk-UA"/>
        </w:rPr>
        <w:t xml:space="preserve">Попереднє обстеження гідроспоруд з промірами глибин проводилось в 2016-2018 </w:t>
      </w:r>
      <w:proofErr w:type="spellStart"/>
      <w:r>
        <w:rPr>
          <w:szCs w:val="28"/>
          <w:lang w:val="uk-UA"/>
        </w:rPr>
        <w:t>р.р</w:t>
      </w:r>
      <w:proofErr w:type="spellEnd"/>
      <w:r>
        <w:rPr>
          <w:szCs w:val="28"/>
          <w:lang w:val="uk-UA"/>
        </w:rPr>
        <w:t>.</w:t>
      </w:r>
    </w:p>
    <w:p w14:paraId="13F6BFEF" w14:textId="77777777" w:rsidR="00887B68" w:rsidRDefault="00887B68" w:rsidP="00887B68">
      <w:pPr>
        <w:ind w:firstLine="567"/>
        <w:jc w:val="both"/>
        <w:rPr>
          <w:sz w:val="26"/>
          <w:szCs w:val="26"/>
          <w:lang w:val="uk-UA"/>
        </w:rPr>
      </w:pPr>
    </w:p>
    <w:p w14:paraId="7C2DEF77" w14:textId="77777777" w:rsidR="00887B68" w:rsidRDefault="00887B68" w:rsidP="00887B68">
      <w:pPr>
        <w:ind w:firstLine="567"/>
        <w:jc w:val="both"/>
        <w:rPr>
          <w:sz w:val="26"/>
          <w:szCs w:val="26"/>
          <w:lang w:val="uk-UA"/>
        </w:rPr>
      </w:pPr>
    </w:p>
    <w:p w14:paraId="0948988D" w14:textId="77777777" w:rsidR="00887B68" w:rsidRDefault="00887B68" w:rsidP="00887B68">
      <w:pPr>
        <w:ind w:firstLine="567"/>
        <w:jc w:val="both"/>
        <w:rPr>
          <w:sz w:val="26"/>
          <w:szCs w:val="26"/>
          <w:lang w:val="uk-UA"/>
        </w:rPr>
      </w:pPr>
    </w:p>
    <w:p w14:paraId="4111177D" w14:textId="77777777" w:rsidR="00887B68" w:rsidRDefault="00887B68" w:rsidP="00887B68">
      <w:pPr>
        <w:rPr>
          <w:sz w:val="28"/>
          <w:szCs w:val="28"/>
          <w:lang w:val="uk-UA"/>
        </w:rPr>
      </w:pPr>
    </w:p>
    <w:p w14:paraId="47BEEE13" w14:textId="77777777" w:rsidR="00887B68" w:rsidRDefault="00887B68" w:rsidP="00887B68">
      <w:pPr>
        <w:rPr>
          <w:sz w:val="28"/>
          <w:szCs w:val="28"/>
          <w:lang w:val="uk-UA"/>
        </w:rPr>
      </w:pPr>
    </w:p>
    <w:p w14:paraId="02C03CAD" w14:textId="77777777" w:rsidR="00887B68" w:rsidRDefault="00887B68" w:rsidP="00887B68">
      <w:pPr>
        <w:ind w:right="140" w:firstLine="708"/>
        <w:rPr>
          <w:b/>
          <w:sz w:val="28"/>
          <w:szCs w:val="28"/>
          <w:lang w:val="uk-UA"/>
        </w:rPr>
      </w:pPr>
      <w:r>
        <w:rPr>
          <w:b/>
          <w:sz w:val="28"/>
          <w:szCs w:val="28"/>
          <w:lang w:val="uk-UA"/>
        </w:rPr>
        <w:t xml:space="preserve">        Начальник  ВТВ</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Гаркуша</w:t>
      </w:r>
    </w:p>
    <w:p w14:paraId="23E4704C" w14:textId="77777777" w:rsidR="00887B68" w:rsidRDefault="00887B68" w:rsidP="00887B68">
      <w:pPr>
        <w:pageBreakBefore/>
        <w:ind w:left="6804"/>
        <w:jc w:val="center"/>
        <w:rPr>
          <w:b/>
          <w:lang w:val="uk-UA"/>
        </w:rPr>
      </w:pPr>
      <w:r>
        <w:rPr>
          <w:lang w:val="uk-UA"/>
        </w:rPr>
        <w:lastRenderedPageBreak/>
        <w:t xml:space="preserve">        (Додаток №4 до ТЗ)</w:t>
      </w:r>
    </w:p>
    <w:p w14:paraId="0DB4D6FA" w14:textId="77777777" w:rsidR="00887B68" w:rsidRDefault="00887B68" w:rsidP="00887B68">
      <w:pPr>
        <w:jc w:val="center"/>
        <w:rPr>
          <w:b/>
          <w:sz w:val="28"/>
          <w:szCs w:val="28"/>
          <w:lang w:val="uk-UA"/>
        </w:rPr>
      </w:pPr>
    </w:p>
    <w:p w14:paraId="6DA7E43F" w14:textId="77777777" w:rsidR="00887B68" w:rsidRDefault="00887B68" w:rsidP="00887B68">
      <w:pPr>
        <w:jc w:val="center"/>
        <w:rPr>
          <w:b/>
          <w:sz w:val="28"/>
          <w:szCs w:val="28"/>
          <w:lang w:val="uk-UA"/>
        </w:rPr>
      </w:pPr>
      <w:r>
        <w:rPr>
          <w:b/>
          <w:sz w:val="28"/>
          <w:szCs w:val="28"/>
          <w:lang w:val="uk-UA"/>
        </w:rPr>
        <w:t>Інформаційна довідка</w:t>
      </w:r>
    </w:p>
    <w:p w14:paraId="5CEC4443" w14:textId="77777777" w:rsidR="00887B68" w:rsidRDefault="00887B68" w:rsidP="00887B68">
      <w:pPr>
        <w:rPr>
          <w:b/>
          <w:sz w:val="28"/>
          <w:szCs w:val="28"/>
          <w:lang w:val="uk-UA"/>
        </w:rPr>
      </w:pPr>
    </w:p>
    <w:p w14:paraId="6F03B673" w14:textId="77777777" w:rsidR="00887B68" w:rsidRDefault="00887B68" w:rsidP="00887B68">
      <w:pPr>
        <w:jc w:val="center"/>
        <w:rPr>
          <w:b/>
          <w:sz w:val="28"/>
          <w:szCs w:val="28"/>
          <w:lang w:val="uk-UA"/>
        </w:rPr>
      </w:pPr>
      <w:r>
        <w:rPr>
          <w:b/>
          <w:sz w:val="28"/>
          <w:szCs w:val="28"/>
          <w:lang w:val="uk-UA"/>
        </w:rPr>
        <w:t>щодо обґрунтування очікуваної вартості предмету закупівлі:</w:t>
      </w:r>
    </w:p>
    <w:p w14:paraId="7C7B3A22" w14:textId="77777777" w:rsidR="00887B68" w:rsidRDefault="00887B68" w:rsidP="00887B68">
      <w:pPr>
        <w:jc w:val="center"/>
        <w:rPr>
          <w:b/>
          <w:sz w:val="28"/>
          <w:szCs w:val="28"/>
          <w:lang w:val="uk-UA"/>
        </w:rPr>
      </w:pPr>
      <w:r>
        <w:rPr>
          <w:b/>
          <w:sz w:val="28"/>
          <w:szCs w:val="28"/>
          <w:lang w:val="uk-UA"/>
        </w:rPr>
        <w:t xml:space="preserve">Послуги з технічного огляду та </w:t>
      </w:r>
      <w:proofErr w:type="spellStart"/>
      <w:r>
        <w:rPr>
          <w:b/>
          <w:sz w:val="28"/>
          <w:szCs w:val="28"/>
          <w:lang w:val="uk-UA"/>
        </w:rPr>
        <w:t>випробовувань</w:t>
      </w:r>
      <w:proofErr w:type="spellEnd"/>
      <w:r>
        <w:rPr>
          <w:b/>
          <w:sz w:val="28"/>
          <w:szCs w:val="28"/>
          <w:lang w:val="uk-UA"/>
        </w:rPr>
        <w:t xml:space="preserve"> </w:t>
      </w:r>
    </w:p>
    <w:p w14:paraId="1E721AF9" w14:textId="77777777" w:rsidR="00887B68" w:rsidRDefault="00887B68" w:rsidP="00887B68">
      <w:pPr>
        <w:jc w:val="center"/>
        <w:rPr>
          <w:b/>
          <w:sz w:val="28"/>
          <w:szCs w:val="28"/>
          <w:lang w:val="uk-UA"/>
        </w:rPr>
      </w:pPr>
      <w:r>
        <w:rPr>
          <w:b/>
          <w:sz w:val="28"/>
          <w:szCs w:val="28"/>
          <w:lang w:val="uk-UA"/>
        </w:rPr>
        <w:t>(Послуги з обстеження гідротехнічних споруд Трипільської ТЕС)</w:t>
      </w:r>
    </w:p>
    <w:p w14:paraId="1A81763C" w14:textId="77777777" w:rsidR="00887B68" w:rsidRDefault="00887B68" w:rsidP="00887B68">
      <w:pPr>
        <w:ind w:left="360"/>
        <w:jc w:val="center"/>
        <w:rPr>
          <w:sz w:val="28"/>
          <w:szCs w:val="28"/>
          <w:lang w:val="uk-UA"/>
        </w:rPr>
      </w:pPr>
      <w:r>
        <w:rPr>
          <w:sz w:val="28"/>
          <w:szCs w:val="28"/>
          <w:lang w:val="uk-UA"/>
        </w:rPr>
        <w:t>код ДК 021:2015 – 71630000-3</w:t>
      </w:r>
    </w:p>
    <w:p w14:paraId="73A1A2FA" w14:textId="77777777" w:rsidR="00887B68" w:rsidRDefault="00887B68" w:rsidP="00887B68">
      <w:pPr>
        <w:jc w:val="center"/>
        <w:rPr>
          <w:sz w:val="28"/>
          <w:szCs w:val="28"/>
          <w:lang w:val="uk-UA"/>
        </w:rPr>
      </w:pPr>
    </w:p>
    <w:p w14:paraId="1AF64017" w14:textId="77777777" w:rsidR="00887B68" w:rsidRDefault="00887B68" w:rsidP="00887B68">
      <w:pPr>
        <w:jc w:val="center"/>
        <w:rPr>
          <w:szCs w:val="28"/>
          <w:lang w:val="uk-UA"/>
        </w:rPr>
      </w:pPr>
    </w:p>
    <w:p w14:paraId="74058227" w14:textId="77777777" w:rsidR="00887B68" w:rsidRDefault="00887B68" w:rsidP="00887B68">
      <w:pPr>
        <w:suppressAutoHyphens/>
        <w:ind w:firstLine="567"/>
        <w:jc w:val="both"/>
        <w:rPr>
          <w:lang w:val="uk-UA"/>
        </w:rPr>
      </w:pPr>
      <w:r>
        <w:rPr>
          <w:lang w:val="uk-UA"/>
        </w:rPr>
        <w:t>Було проведено попередній моніторинг вартості закупівлі послуг з обстеження гідротехнічних споруд Трипільської ТЕС.</w:t>
      </w:r>
    </w:p>
    <w:p w14:paraId="125EFD2B" w14:textId="77777777" w:rsidR="00887B68" w:rsidRDefault="00887B68" w:rsidP="00887B68">
      <w:pPr>
        <w:jc w:val="both"/>
        <w:rPr>
          <w:sz w:val="28"/>
          <w:szCs w:val="28"/>
          <w:lang w:val="uk-UA"/>
        </w:rPr>
      </w:pPr>
    </w:p>
    <w:p w14:paraId="61231CC8" w14:textId="77777777" w:rsidR="00887B68" w:rsidRDefault="00887B68" w:rsidP="00887B68">
      <w:pPr>
        <w:rPr>
          <w:sz w:val="28"/>
          <w:szCs w:val="28"/>
          <w:lang w:val="uk-UA"/>
        </w:rPr>
      </w:pPr>
    </w:p>
    <w:p w14:paraId="1B140D69" w14:textId="77777777" w:rsidR="00887B68" w:rsidRDefault="00887B68" w:rsidP="00887B68">
      <w:pPr>
        <w:rPr>
          <w:sz w:val="28"/>
          <w:szCs w:val="28"/>
          <w:lang w:val="uk-UA"/>
        </w:rPr>
      </w:pPr>
    </w:p>
    <w:p w14:paraId="6B532612" w14:textId="77777777" w:rsidR="00887B68" w:rsidRDefault="00887B68" w:rsidP="00887B68">
      <w:pPr>
        <w:rPr>
          <w:sz w:val="28"/>
          <w:szCs w:val="28"/>
          <w:lang w:val="uk-UA"/>
        </w:rPr>
      </w:pPr>
    </w:p>
    <w:p w14:paraId="6FE871D4" w14:textId="77777777" w:rsidR="00887B68" w:rsidRDefault="00887B68" w:rsidP="00887B68">
      <w:pPr>
        <w:ind w:right="140" w:firstLine="708"/>
        <w:rPr>
          <w:b/>
          <w:sz w:val="28"/>
          <w:szCs w:val="28"/>
          <w:lang w:val="uk-UA"/>
        </w:rPr>
      </w:pPr>
      <w:r>
        <w:rPr>
          <w:b/>
          <w:sz w:val="28"/>
          <w:szCs w:val="28"/>
          <w:lang w:val="uk-UA"/>
        </w:rPr>
        <w:t>Начальник  ВТВ</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Гаркуша</w:t>
      </w:r>
    </w:p>
    <w:p w14:paraId="4363C46E" w14:textId="77777777" w:rsidR="00B234FD" w:rsidRDefault="00B234FD"/>
    <w:p w14:paraId="03F43634" w14:textId="77777777" w:rsidR="006609A4" w:rsidRDefault="006609A4"/>
    <w:p w14:paraId="2EF3BBC4" w14:textId="77777777" w:rsidR="006609A4" w:rsidRDefault="006609A4"/>
    <w:p w14:paraId="11537F27" w14:textId="77777777" w:rsidR="006609A4" w:rsidRDefault="006609A4"/>
    <w:p w14:paraId="350BDCA1" w14:textId="77777777" w:rsidR="006609A4" w:rsidRDefault="006609A4"/>
    <w:p w14:paraId="7C2726D0" w14:textId="77777777" w:rsidR="006609A4" w:rsidRDefault="006609A4"/>
    <w:p w14:paraId="40D08F13" w14:textId="77777777" w:rsidR="006609A4" w:rsidRDefault="006609A4"/>
    <w:p w14:paraId="548205D7" w14:textId="77777777" w:rsidR="006609A4" w:rsidRDefault="006609A4"/>
    <w:p w14:paraId="3CE8DA94" w14:textId="77777777" w:rsidR="006609A4" w:rsidRDefault="006609A4"/>
    <w:p w14:paraId="0C5C1918" w14:textId="77777777" w:rsidR="006609A4" w:rsidRDefault="006609A4"/>
    <w:p w14:paraId="378D8FFF" w14:textId="77777777" w:rsidR="006609A4" w:rsidRDefault="006609A4"/>
    <w:p w14:paraId="62F50ECB" w14:textId="77777777" w:rsidR="006609A4" w:rsidRDefault="006609A4"/>
    <w:p w14:paraId="76C5F06D" w14:textId="77777777" w:rsidR="006609A4" w:rsidRDefault="006609A4"/>
    <w:p w14:paraId="4378164E" w14:textId="77777777" w:rsidR="006609A4" w:rsidRDefault="006609A4"/>
    <w:p w14:paraId="23825234" w14:textId="77777777" w:rsidR="006609A4" w:rsidRDefault="006609A4"/>
    <w:p w14:paraId="43030579" w14:textId="77777777" w:rsidR="006609A4" w:rsidRDefault="006609A4"/>
    <w:p w14:paraId="240325A9" w14:textId="77777777" w:rsidR="006609A4" w:rsidRDefault="006609A4"/>
    <w:p w14:paraId="5254E48B" w14:textId="77777777" w:rsidR="006609A4" w:rsidRDefault="006609A4"/>
    <w:p w14:paraId="63A928F7" w14:textId="77777777" w:rsidR="006609A4" w:rsidRDefault="006609A4"/>
    <w:p w14:paraId="5DAB609B" w14:textId="77777777" w:rsidR="006609A4" w:rsidRDefault="006609A4"/>
    <w:p w14:paraId="05F58C10" w14:textId="77777777" w:rsidR="006609A4" w:rsidRDefault="006609A4"/>
    <w:p w14:paraId="18AD1B55" w14:textId="77777777" w:rsidR="006609A4" w:rsidRDefault="006609A4"/>
    <w:p w14:paraId="0CCE4C5A" w14:textId="77777777" w:rsidR="006609A4" w:rsidRDefault="006609A4"/>
    <w:p w14:paraId="69E02238" w14:textId="77777777" w:rsidR="006609A4" w:rsidRDefault="006609A4"/>
    <w:p w14:paraId="14447005" w14:textId="77777777" w:rsidR="006609A4" w:rsidRDefault="006609A4"/>
    <w:p w14:paraId="713BE61A" w14:textId="77777777" w:rsidR="006609A4" w:rsidRDefault="006609A4"/>
    <w:p w14:paraId="2A989606" w14:textId="77777777" w:rsidR="006609A4" w:rsidRDefault="006609A4"/>
    <w:p w14:paraId="77AE6A4F" w14:textId="77777777" w:rsidR="006609A4" w:rsidRDefault="006609A4"/>
    <w:p w14:paraId="765A3A02" w14:textId="77777777" w:rsidR="006609A4" w:rsidRDefault="006609A4"/>
    <w:p w14:paraId="364D3559" w14:textId="77777777" w:rsidR="006609A4" w:rsidRDefault="006609A4"/>
    <w:p w14:paraId="04DDF201" w14:textId="77777777" w:rsidR="006609A4" w:rsidRDefault="006609A4"/>
    <w:p w14:paraId="13AD18C3" w14:textId="77777777" w:rsidR="006609A4" w:rsidRDefault="006609A4"/>
    <w:p w14:paraId="59DE735F" w14:textId="77777777" w:rsidR="006609A4" w:rsidRDefault="006609A4"/>
    <w:p w14:paraId="10741AFE" w14:textId="77777777" w:rsidR="006609A4" w:rsidRDefault="006609A4"/>
    <w:p w14:paraId="0DE118AF" w14:textId="77777777" w:rsidR="006609A4" w:rsidRDefault="006609A4"/>
    <w:p w14:paraId="3CFFA7F2" w14:textId="77777777" w:rsidR="006609A4" w:rsidRDefault="006609A4"/>
    <w:p w14:paraId="014631F2" w14:textId="77777777" w:rsidR="006609A4" w:rsidRDefault="006609A4"/>
    <w:p w14:paraId="71905686" w14:textId="77777777" w:rsidR="006609A4" w:rsidRDefault="006609A4" w:rsidP="006609A4">
      <w:pPr>
        <w:ind w:firstLine="680"/>
        <w:jc w:val="right"/>
      </w:pPr>
      <w:r>
        <w:rPr>
          <w:sz w:val="28"/>
          <w:szCs w:val="28"/>
          <w:lang w:val="uk-UA"/>
        </w:rPr>
        <w:t>(</w:t>
      </w:r>
      <w:proofErr w:type="spellStart"/>
      <w:r>
        <w:rPr>
          <w:sz w:val="28"/>
          <w:szCs w:val="28"/>
        </w:rPr>
        <w:t>Додаток</w:t>
      </w:r>
      <w:proofErr w:type="spellEnd"/>
      <w:r>
        <w:rPr>
          <w:sz w:val="28"/>
          <w:szCs w:val="28"/>
        </w:rPr>
        <w:t xml:space="preserve"> </w:t>
      </w:r>
      <w:r>
        <w:rPr>
          <w:sz w:val="28"/>
          <w:szCs w:val="28"/>
          <w:lang w:val="uk-UA"/>
        </w:rPr>
        <w:t>3</w:t>
      </w:r>
      <w:r>
        <w:rPr>
          <w:sz w:val="28"/>
          <w:szCs w:val="28"/>
        </w:rPr>
        <w:t xml:space="preserve"> до ТЗ)</w:t>
      </w:r>
    </w:p>
    <w:p w14:paraId="49544A0A" w14:textId="77777777" w:rsidR="006609A4" w:rsidRDefault="006609A4" w:rsidP="006609A4">
      <w:pPr>
        <w:tabs>
          <w:tab w:val="left" w:pos="840"/>
          <w:tab w:val="center" w:pos="5220"/>
          <w:tab w:val="left" w:pos="6096"/>
        </w:tabs>
        <w:spacing w:before="120"/>
        <w:jc w:val="center"/>
        <w:rPr>
          <w:b/>
          <w:bCs/>
          <w:sz w:val="28"/>
          <w:szCs w:val="28"/>
          <w:lang w:val="uk-UA"/>
        </w:rPr>
      </w:pPr>
      <w:r>
        <w:rPr>
          <w:b/>
          <w:bCs/>
          <w:sz w:val="28"/>
          <w:szCs w:val="28"/>
          <w:lang w:val="uk-UA"/>
        </w:rPr>
        <w:t xml:space="preserve">     </w:t>
      </w:r>
    </w:p>
    <w:p w14:paraId="41A9491C" w14:textId="77777777" w:rsidR="006609A4" w:rsidRDefault="006609A4" w:rsidP="006609A4">
      <w:pPr>
        <w:tabs>
          <w:tab w:val="left" w:pos="840"/>
          <w:tab w:val="center" w:pos="5220"/>
          <w:tab w:val="left" w:pos="6096"/>
        </w:tabs>
        <w:spacing w:before="120"/>
        <w:jc w:val="center"/>
      </w:pPr>
      <w:r>
        <w:rPr>
          <w:b/>
          <w:bCs/>
          <w:sz w:val="28"/>
          <w:szCs w:val="28"/>
          <w:lang w:val="uk-UA"/>
        </w:rPr>
        <w:t xml:space="preserve">         Інформаційна довідка</w:t>
      </w:r>
    </w:p>
    <w:p w14:paraId="16668B18" w14:textId="77777777" w:rsidR="006609A4" w:rsidRDefault="006609A4" w:rsidP="006609A4">
      <w:pPr>
        <w:tabs>
          <w:tab w:val="left" w:pos="840"/>
          <w:tab w:val="center" w:pos="5220"/>
          <w:tab w:val="left" w:pos="6096"/>
        </w:tabs>
        <w:spacing w:before="120"/>
        <w:jc w:val="center"/>
      </w:pPr>
      <w:r>
        <w:rPr>
          <w:b/>
          <w:bCs/>
          <w:sz w:val="28"/>
          <w:szCs w:val="28"/>
          <w:lang w:val="uk-UA"/>
        </w:rPr>
        <w:t>щодо обґрунтування технічних та якісних характеристик предмета закупівлі</w:t>
      </w:r>
    </w:p>
    <w:p w14:paraId="76F2DBFA" w14:textId="77777777" w:rsidR="006609A4" w:rsidRDefault="006609A4" w:rsidP="006609A4">
      <w:pPr>
        <w:ind w:firstLine="540"/>
        <w:jc w:val="center"/>
        <w:rPr>
          <w:b/>
          <w:bCs/>
          <w:sz w:val="28"/>
          <w:szCs w:val="28"/>
          <w:lang w:val="uk-UA"/>
        </w:rPr>
      </w:pPr>
    </w:p>
    <w:p w14:paraId="5DEDF1DE" w14:textId="77777777" w:rsidR="006609A4" w:rsidRDefault="006609A4" w:rsidP="006609A4">
      <w:pPr>
        <w:ind w:firstLine="540"/>
        <w:jc w:val="center"/>
      </w:pPr>
      <w:r>
        <w:rPr>
          <w:sz w:val="28"/>
          <w:szCs w:val="28"/>
          <w:lang w:val="uk-UA"/>
        </w:rPr>
        <w:t>Процедура: Відкриті торги з особливостями</w:t>
      </w:r>
    </w:p>
    <w:p w14:paraId="0C64A8CB" w14:textId="77777777" w:rsidR="006609A4" w:rsidRDefault="006609A4" w:rsidP="006609A4">
      <w:pPr>
        <w:spacing w:line="360" w:lineRule="auto"/>
        <w:ind w:right="-1"/>
        <w:jc w:val="center"/>
        <w:rPr>
          <w:sz w:val="28"/>
          <w:szCs w:val="28"/>
          <w:lang w:val="uk-UA"/>
        </w:rPr>
      </w:pPr>
      <w:r>
        <w:rPr>
          <w:sz w:val="28"/>
          <w:szCs w:val="28"/>
          <w:lang w:val="uk-UA"/>
        </w:rPr>
        <w:t xml:space="preserve">          ДК 021:2015 38570000-1: </w:t>
      </w:r>
    </w:p>
    <w:p w14:paraId="0CAC30BE" w14:textId="77777777" w:rsidR="006609A4" w:rsidRDefault="006609A4" w:rsidP="006609A4">
      <w:pPr>
        <w:spacing w:line="360" w:lineRule="auto"/>
        <w:ind w:right="-1"/>
        <w:jc w:val="center"/>
        <w:rPr>
          <w:sz w:val="28"/>
          <w:szCs w:val="28"/>
          <w:lang w:val="uk-UA"/>
        </w:rPr>
      </w:pPr>
      <w:r>
        <w:rPr>
          <w:sz w:val="28"/>
          <w:szCs w:val="28"/>
          <w:lang w:val="uk-UA"/>
        </w:rPr>
        <w:t xml:space="preserve">Регулювальні та контрольні прилади й апаратура </w:t>
      </w:r>
    </w:p>
    <w:p w14:paraId="44D696F4" w14:textId="77777777" w:rsidR="006609A4" w:rsidRDefault="006609A4" w:rsidP="006609A4">
      <w:pPr>
        <w:spacing w:line="360" w:lineRule="auto"/>
        <w:ind w:right="-1"/>
        <w:jc w:val="center"/>
        <w:rPr>
          <w:sz w:val="28"/>
          <w:szCs w:val="28"/>
          <w:lang w:val="uk-UA"/>
        </w:rPr>
      </w:pPr>
      <w:r>
        <w:rPr>
          <w:sz w:val="28"/>
          <w:szCs w:val="28"/>
          <w:lang w:val="uk-UA"/>
        </w:rPr>
        <w:t>(Перетворювачі ультразвукові, з'єднання до них)</w:t>
      </w:r>
    </w:p>
    <w:p w14:paraId="7769F5BD" w14:textId="77777777" w:rsidR="006609A4" w:rsidRDefault="006609A4" w:rsidP="006609A4">
      <w:pPr>
        <w:spacing w:line="360" w:lineRule="auto"/>
        <w:ind w:right="-1"/>
        <w:jc w:val="center"/>
        <w:rPr>
          <w:lang w:val="uk-UA" w:eastAsia="zh-CN"/>
        </w:rPr>
      </w:pPr>
    </w:p>
    <w:p w14:paraId="37055177" w14:textId="77777777" w:rsidR="006609A4" w:rsidRDefault="006609A4" w:rsidP="006609A4">
      <w:pPr>
        <w:spacing w:line="360" w:lineRule="auto"/>
        <w:jc w:val="both"/>
        <w:rPr>
          <w:sz w:val="28"/>
          <w:szCs w:val="28"/>
          <w:lang w:val="uk-UA"/>
        </w:rPr>
      </w:pPr>
      <w:r>
        <w:rPr>
          <w:sz w:val="28"/>
          <w:szCs w:val="28"/>
          <w:lang w:val="uk-UA"/>
        </w:rPr>
        <w:t xml:space="preserve">     Для проведення ультразвукового контролю зварних з'єднань та основного металу поверхонь нагріву під час планових або аварійних ремонтів на тепломеханічному обладнанні Трипільської ТЕС та забезпечення необхідної кількості вимірювальних приладів для проведення ремонтної компанії необхідно провести закупівлю Перетворювачів  контактних </w:t>
      </w:r>
      <w:proofErr w:type="spellStart"/>
      <w:r>
        <w:rPr>
          <w:sz w:val="28"/>
          <w:szCs w:val="28"/>
          <w:lang w:val="uk-UA"/>
        </w:rPr>
        <w:t>наклонних</w:t>
      </w:r>
      <w:proofErr w:type="spellEnd"/>
      <w:r>
        <w:rPr>
          <w:sz w:val="28"/>
          <w:szCs w:val="28"/>
          <w:lang w:val="uk-UA"/>
        </w:rPr>
        <w:t xml:space="preserve"> з’єднаних в асортименті для дефектоскопії труб малих діаметрів,  Перетворювачів  контактних </w:t>
      </w:r>
      <w:proofErr w:type="spellStart"/>
      <w:r>
        <w:rPr>
          <w:sz w:val="28"/>
          <w:szCs w:val="28"/>
          <w:lang w:val="uk-UA"/>
        </w:rPr>
        <w:t>наклонних</w:t>
      </w:r>
      <w:proofErr w:type="spellEnd"/>
      <w:r>
        <w:rPr>
          <w:sz w:val="28"/>
          <w:szCs w:val="28"/>
          <w:lang w:val="uk-UA"/>
        </w:rPr>
        <w:t xml:space="preserve"> з’єднаних малогабаритних в асортименті та З’єднувальних кабелів </w:t>
      </w:r>
    </w:p>
    <w:p w14:paraId="62131B2B" w14:textId="77777777" w:rsidR="006609A4" w:rsidRDefault="006609A4" w:rsidP="006609A4">
      <w:pPr>
        <w:spacing w:line="360" w:lineRule="auto"/>
        <w:jc w:val="both"/>
        <w:rPr>
          <w:sz w:val="28"/>
          <w:szCs w:val="28"/>
          <w:lang w:val="uk-UA"/>
        </w:rPr>
      </w:pPr>
      <w:r>
        <w:rPr>
          <w:sz w:val="28"/>
          <w:szCs w:val="28"/>
          <w:lang w:val="uk-UA"/>
        </w:rPr>
        <w:t>до них.</w:t>
      </w:r>
    </w:p>
    <w:p w14:paraId="120631C4" w14:textId="77777777" w:rsidR="006609A4" w:rsidRDefault="006609A4" w:rsidP="006609A4">
      <w:pPr>
        <w:spacing w:line="360" w:lineRule="auto"/>
        <w:jc w:val="both"/>
        <w:rPr>
          <w:sz w:val="26"/>
          <w:szCs w:val="26"/>
          <w:lang w:val="uk-UA"/>
        </w:rPr>
      </w:pPr>
      <w:r>
        <w:rPr>
          <w:sz w:val="28"/>
          <w:szCs w:val="28"/>
          <w:lang w:val="uk-UA"/>
        </w:rPr>
        <w:t xml:space="preserve">       В разі відсутності зазначених приладів проведення ультразвукового контролю металу поверхонь нагріву стане неможливим, не будуть вчасно виявлені дефекти металу, що призведе до збільшення аварійних ситуацій на обладнанні.       Процедура закупівлі планується проводитись по коду статті руху коштів 5.2.6.8.</w:t>
      </w:r>
    </w:p>
    <w:p w14:paraId="12AFEA52" w14:textId="77777777" w:rsidR="006609A4" w:rsidRDefault="006609A4" w:rsidP="006609A4">
      <w:pPr>
        <w:jc w:val="both"/>
        <w:rPr>
          <w:sz w:val="26"/>
          <w:szCs w:val="26"/>
          <w:lang w:val="uk-UA"/>
        </w:rPr>
      </w:pPr>
    </w:p>
    <w:p w14:paraId="01BD1586" w14:textId="77777777" w:rsidR="006609A4" w:rsidRDefault="006609A4" w:rsidP="006609A4">
      <w:pPr>
        <w:jc w:val="both"/>
        <w:rPr>
          <w:sz w:val="26"/>
          <w:szCs w:val="26"/>
          <w:lang w:val="uk-UA"/>
        </w:rPr>
      </w:pPr>
    </w:p>
    <w:tbl>
      <w:tblPr>
        <w:tblW w:w="0" w:type="auto"/>
        <w:tblLayout w:type="fixed"/>
        <w:tblLook w:val="04A0" w:firstRow="1" w:lastRow="0" w:firstColumn="1" w:lastColumn="0" w:noHBand="0" w:noVBand="1"/>
      </w:tblPr>
      <w:tblGrid>
        <w:gridCol w:w="7480"/>
        <w:gridCol w:w="2800"/>
      </w:tblGrid>
      <w:tr w:rsidR="006609A4" w14:paraId="4616D2AE" w14:textId="77777777" w:rsidTr="006609A4">
        <w:trPr>
          <w:trHeight w:val="375"/>
        </w:trPr>
        <w:tc>
          <w:tcPr>
            <w:tcW w:w="7480" w:type="dxa"/>
            <w:vAlign w:val="center"/>
            <w:hideMark/>
          </w:tcPr>
          <w:p w14:paraId="4DEF5EF7" w14:textId="77777777" w:rsidR="006609A4" w:rsidRDefault="006609A4">
            <w:pPr>
              <w:tabs>
                <w:tab w:val="left" w:pos="0"/>
              </w:tabs>
              <w:spacing w:line="276" w:lineRule="auto"/>
              <w:rPr>
                <w:lang w:val="uk-UA"/>
              </w:rPr>
            </w:pPr>
            <w:r>
              <w:rPr>
                <w:bCs/>
                <w:i/>
                <w:lang w:val="uk-UA"/>
              </w:rPr>
              <w:t xml:space="preserve">          Ініціатор процедури закупівлі:</w:t>
            </w:r>
          </w:p>
          <w:p w14:paraId="731B06CA" w14:textId="77777777" w:rsidR="006609A4" w:rsidRDefault="006609A4">
            <w:pPr>
              <w:tabs>
                <w:tab w:val="left" w:pos="0"/>
              </w:tabs>
              <w:spacing w:line="276" w:lineRule="auto"/>
              <w:rPr>
                <w:lang w:val="uk-UA"/>
              </w:rPr>
            </w:pPr>
            <w:r>
              <w:rPr>
                <w:bCs/>
                <w:sz w:val="28"/>
                <w:szCs w:val="28"/>
                <w:lang w:val="uk-UA"/>
              </w:rPr>
              <w:t xml:space="preserve">         Начальник </w:t>
            </w:r>
            <w:proofErr w:type="spellStart"/>
            <w:r>
              <w:rPr>
                <w:bCs/>
                <w:sz w:val="28"/>
                <w:szCs w:val="28"/>
                <w:lang w:val="uk-UA"/>
              </w:rPr>
              <w:t>ЛМтаЗ</w:t>
            </w:r>
            <w:proofErr w:type="spellEnd"/>
            <w:r>
              <w:rPr>
                <w:bCs/>
                <w:sz w:val="28"/>
                <w:szCs w:val="28"/>
                <w:lang w:val="uk-UA"/>
              </w:rPr>
              <w:t xml:space="preserve">                                                                 </w:t>
            </w:r>
          </w:p>
        </w:tc>
        <w:tc>
          <w:tcPr>
            <w:tcW w:w="2800" w:type="dxa"/>
            <w:vAlign w:val="center"/>
          </w:tcPr>
          <w:p w14:paraId="6EE07B26" w14:textId="77777777" w:rsidR="006609A4" w:rsidRDefault="006609A4">
            <w:pPr>
              <w:tabs>
                <w:tab w:val="left" w:pos="0"/>
              </w:tabs>
              <w:snapToGrid w:val="0"/>
              <w:spacing w:line="276" w:lineRule="auto"/>
              <w:rPr>
                <w:bCs/>
                <w:sz w:val="28"/>
                <w:szCs w:val="28"/>
                <w:lang w:val="uk-UA"/>
              </w:rPr>
            </w:pPr>
          </w:p>
          <w:p w14:paraId="34E1661A" w14:textId="77777777" w:rsidR="006609A4" w:rsidRDefault="006609A4">
            <w:pPr>
              <w:tabs>
                <w:tab w:val="left" w:pos="0"/>
              </w:tabs>
              <w:spacing w:line="276" w:lineRule="auto"/>
              <w:rPr>
                <w:lang w:val="uk-UA"/>
              </w:rPr>
            </w:pPr>
            <w:r>
              <w:rPr>
                <w:bCs/>
                <w:sz w:val="28"/>
                <w:szCs w:val="28"/>
                <w:lang w:val="uk-UA"/>
              </w:rPr>
              <w:t xml:space="preserve">А.В. </w:t>
            </w:r>
            <w:proofErr w:type="spellStart"/>
            <w:r>
              <w:rPr>
                <w:bCs/>
                <w:sz w:val="28"/>
                <w:szCs w:val="28"/>
                <w:lang w:val="uk-UA"/>
              </w:rPr>
              <w:t>Грузевич</w:t>
            </w:r>
            <w:proofErr w:type="spellEnd"/>
          </w:p>
        </w:tc>
      </w:tr>
    </w:tbl>
    <w:p w14:paraId="749D31E1" w14:textId="77777777" w:rsidR="006609A4" w:rsidRDefault="006609A4" w:rsidP="006609A4">
      <w:pPr>
        <w:ind w:firstLine="680"/>
        <w:jc w:val="right"/>
        <w:rPr>
          <w:sz w:val="28"/>
          <w:szCs w:val="28"/>
          <w:lang w:val="uk-UA" w:eastAsia="zh-CN"/>
        </w:rPr>
      </w:pPr>
    </w:p>
    <w:p w14:paraId="4D8F6851" w14:textId="77777777" w:rsidR="006609A4" w:rsidRDefault="006609A4" w:rsidP="006609A4">
      <w:pPr>
        <w:ind w:firstLine="680"/>
        <w:jc w:val="right"/>
        <w:rPr>
          <w:sz w:val="28"/>
          <w:szCs w:val="28"/>
          <w:lang w:val="uk-UA"/>
        </w:rPr>
      </w:pPr>
    </w:p>
    <w:p w14:paraId="11A1D4B4" w14:textId="77777777" w:rsidR="006609A4" w:rsidRDefault="006609A4" w:rsidP="006609A4">
      <w:pPr>
        <w:ind w:firstLine="680"/>
        <w:jc w:val="right"/>
        <w:rPr>
          <w:sz w:val="28"/>
          <w:szCs w:val="28"/>
          <w:lang w:val="uk-UA"/>
        </w:rPr>
      </w:pPr>
    </w:p>
    <w:p w14:paraId="0869B8BD" w14:textId="77777777" w:rsidR="006609A4" w:rsidRDefault="006609A4" w:rsidP="006609A4">
      <w:pPr>
        <w:ind w:firstLine="680"/>
        <w:jc w:val="right"/>
        <w:rPr>
          <w:sz w:val="28"/>
          <w:szCs w:val="28"/>
          <w:lang w:val="uk-UA"/>
        </w:rPr>
      </w:pPr>
    </w:p>
    <w:p w14:paraId="5AE0D8BD" w14:textId="77777777" w:rsidR="006609A4" w:rsidRDefault="006609A4" w:rsidP="006609A4">
      <w:pPr>
        <w:ind w:firstLine="680"/>
        <w:jc w:val="right"/>
        <w:rPr>
          <w:sz w:val="28"/>
          <w:szCs w:val="28"/>
          <w:lang w:val="uk-UA"/>
        </w:rPr>
      </w:pPr>
    </w:p>
    <w:p w14:paraId="7EE7BFB2" w14:textId="77777777" w:rsidR="006609A4" w:rsidRDefault="006609A4" w:rsidP="006609A4">
      <w:pPr>
        <w:ind w:firstLine="680"/>
        <w:jc w:val="right"/>
        <w:rPr>
          <w:sz w:val="28"/>
          <w:szCs w:val="28"/>
          <w:lang w:val="uk-UA"/>
        </w:rPr>
      </w:pPr>
    </w:p>
    <w:p w14:paraId="1BB2053B" w14:textId="77777777" w:rsidR="006609A4" w:rsidRDefault="006609A4" w:rsidP="006609A4">
      <w:pPr>
        <w:ind w:firstLine="680"/>
        <w:jc w:val="right"/>
        <w:rPr>
          <w:sz w:val="28"/>
          <w:szCs w:val="28"/>
          <w:lang w:val="uk-UA"/>
        </w:rPr>
      </w:pPr>
    </w:p>
    <w:p w14:paraId="177F5BC3" w14:textId="77777777" w:rsidR="006609A4" w:rsidRDefault="006609A4" w:rsidP="006609A4">
      <w:pPr>
        <w:ind w:firstLine="680"/>
        <w:jc w:val="right"/>
        <w:rPr>
          <w:sz w:val="28"/>
          <w:szCs w:val="28"/>
          <w:lang w:val="uk-UA"/>
        </w:rPr>
      </w:pPr>
    </w:p>
    <w:p w14:paraId="0BF00B94" w14:textId="77777777" w:rsidR="006609A4" w:rsidRDefault="006609A4" w:rsidP="006609A4">
      <w:pPr>
        <w:ind w:firstLine="680"/>
        <w:jc w:val="right"/>
        <w:rPr>
          <w:sz w:val="28"/>
          <w:szCs w:val="28"/>
          <w:lang w:val="uk-UA"/>
        </w:rPr>
      </w:pPr>
    </w:p>
    <w:p w14:paraId="12F8E809" w14:textId="77777777" w:rsidR="006609A4" w:rsidRDefault="006609A4" w:rsidP="006609A4">
      <w:pPr>
        <w:ind w:firstLine="680"/>
        <w:jc w:val="right"/>
        <w:rPr>
          <w:sz w:val="28"/>
          <w:szCs w:val="28"/>
          <w:lang w:val="uk-UA"/>
        </w:rPr>
      </w:pPr>
    </w:p>
    <w:p w14:paraId="2843AE91" w14:textId="77777777" w:rsidR="006609A4" w:rsidRDefault="006609A4" w:rsidP="006609A4">
      <w:pPr>
        <w:ind w:firstLine="680"/>
        <w:jc w:val="right"/>
      </w:pPr>
      <w:r>
        <w:rPr>
          <w:sz w:val="28"/>
          <w:szCs w:val="28"/>
          <w:lang w:val="uk-UA"/>
        </w:rPr>
        <w:t>(Додаток 4  до ТЗ )</w:t>
      </w:r>
    </w:p>
    <w:p w14:paraId="478CCBDD" w14:textId="77777777" w:rsidR="006609A4" w:rsidRDefault="006609A4" w:rsidP="006609A4">
      <w:pPr>
        <w:ind w:left="540"/>
        <w:jc w:val="center"/>
        <w:rPr>
          <w:bCs/>
          <w:sz w:val="28"/>
          <w:szCs w:val="28"/>
          <w:lang w:val="uk-UA"/>
        </w:rPr>
      </w:pPr>
    </w:p>
    <w:p w14:paraId="7F75B94B" w14:textId="77777777" w:rsidR="006609A4" w:rsidRDefault="006609A4" w:rsidP="006609A4">
      <w:pPr>
        <w:ind w:left="540"/>
        <w:jc w:val="center"/>
      </w:pPr>
      <w:r>
        <w:rPr>
          <w:bCs/>
          <w:sz w:val="28"/>
          <w:szCs w:val="28"/>
          <w:lang w:val="uk-UA"/>
        </w:rPr>
        <w:t>Інформаційна довідка</w:t>
      </w:r>
    </w:p>
    <w:p w14:paraId="6252748B" w14:textId="77777777" w:rsidR="006609A4" w:rsidRDefault="006609A4" w:rsidP="006609A4">
      <w:pPr>
        <w:ind w:left="540"/>
        <w:jc w:val="center"/>
      </w:pPr>
      <w:r>
        <w:rPr>
          <w:bCs/>
          <w:sz w:val="28"/>
          <w:szCs w:val="28"/>
          <w:lang w:val="uk-UA"/>
        </w:rPr>
        <w:t xml:space="preserve">щодо обґрунтування очікуваної вартості предмета закупівлі </w:t>
      </w:r>
    </w:p>
    <w:p w14:paraId="104DF3E8" w14:textId="77777777" w:rsidR="006609A4" w:rsidRDefault="006609A4" w:rsidP="006609A4">
      <w:pPr>
        <w:ind w:left="540"/>
        <w:jc w:val="center"/>
        <w:rPr>
          <w:bCs/>
          <w:sz w:val="28"/>
          <w:szCs w:val="28"/>
          <w:lang w:val="uk-UA"/>
        </w:rPr>
      </w:pPr>
    </w:p>
    <w:p w14:paraId="1992C4FB" w14:textId="77777777" w:rsidR="006609A4" w:rsidRDefault="006609A4" w:rsidP="006609A4">
      <w:pPr>
        <w:ind w:firstLine="540"/>
        <w:jc w:val="center"/>
      </w:pPr>
      <w:r>
        <w:rPr>
          <w:sz w:val="28"/>
          <w:szCs w:val="28"/>
          <w:lang w:val="uk-UA"/>
        </w:rPr>
        <w:t>Процедура: Відкриті торги з особливостями</w:t>
      </w:r>
    </w:p>
    <w:p w14:paraId="2E9B7F6A" w14:textId="77777777" w:rsidR="006609A4" w:rsidRDefault="006609A4" w:rsidP="006609A4">
      <w:pPr>
        <w:ind w:left="720"/>
        <w:jc w:val="center"/>
        <w:rPr>
          <w:sz w:val="28"/>
          <w:szCs w:val="28"/>
          <w:lang w:val="uk-UA"/>
        </w:rPr>
      </w:pPr>
      <w:r>
        <w:rPr>
          <w:sz w:val="28"/>
          <w:szCs w:val="28"/>
          <w:lang w:val="uk-UA"/>
        </w:rPr>
        <w:t xml:space="preserve">ДК 021:2015 38570000-1: </w:t>
      </w:r>
    </w:p>
    <w:p w14:paraId="1E73E21F" w14:textId="77777777" w:rsidR="006609A4" w:rsidRDefault="006609A4" w:rsidP="006609A4">
      <w:pPr>
        <w:ind w:left="720"/>
        <w:jc w:val="center"/>
        <w:rPr>
          <w:sz w:val="28"/>
          <w:szCs w:val="28"/>
          <w:lang w:val="uk-UA"/>
        </w:rPr>
      </w:pPr>
      <w:r>
        <w:rPr>
          <w:sz w:val="28"/>
          <w:szCs w:val="28"/>
          <w:lang w:val="uk-UA"/>
        </w:rPr>
        <w:t xml:space="preserve">Регулювальні та контрольні прилади й апаратура </w:t>
      </w:r>
    </w:p>
    <w:p w14:paraId="5EB68638" w14:textId="77777777" w:rsidR="006609A4" w:rsidRDefault="006609A4" w:rsidP="006609A4">
      <w:pPr>
        <w:ind w:left="720"/>
        <w:jc w:val="center"/>
        <w:rPr>
          <w:sz w:val="28"/>
          <w:szCs w:val="28"/>
          <w:lang w:val="uk-UA"/>
        </w:rPr>
      </w:pPr>
      <w:r>
        <w:rPr>
          <w:sz w:val="28"/>
          <w:szCs w:val="28"/>
          <w:lang w:val="uk-UA"/>
        </w:rPr>
        <w:t>(Перетворювачі ультразвукові, з'єднання до них)</w:t>
      </w:r>
    </w:p>
    <w:p w14:paraId="1B47ECB6" w14:textId="77777777" w:rsidR="006609A4" w:rsidRDefault="006609A4" w:rsidP="006609A4">
      <w:pPr>
        <w:ind w:left="720"/>
        <w:jc w:val="center"/>
        <w:rPr>
          <w:sz w:val="28"/>
          <w:szCs w:val="28"/>
          <w:lang w:val="uk-UA"/>
        </w:rPr>
      </w:pPr>
    </w:p>
    <w:p w14:paraId="3150B7D8" w14:textId="77777777" w:rsidR="006609A4" w:rsidRDefault="006609A4" w:rsidP="006609A4">
      <w:pPr>
        <w:ind w:left="720"/>
        <w:jc w:val="center"/>
        <w:rPr>
          <w:sz w:val="28"/>
          <w:szCs w:val="28"/>
          <w:lang w:val="uk-UA"/>
        </w:rPr>
      </w:pPr>
    </w:p>
    <w:p w14:paraId="00A99604" w14:textId="77777777" w:rsidR="006609A4" w:rsidRDefault="006609A4" w:rsidP="006609A4">
      <w:pPr>
        <w:spacing w:line="360" w:lineRule="auto"/>
        <w:ind w:firstLine="709"/>
        <w:jc w:val="both"/>
      </w:pPr>
      <w:proofErr w:type="spellStart"/>
      <w:r>
        <w:rPr>
          <w:sz w:val="28"/>
          <w:szCs w:val="28"/>
        </w:rPr>
        <w:t>Очікувана</w:t>
      </w:r>
      <w:proofErr w:type="spellEnd"/>
      <w:r>
        <w:rPr>
          <w:sz w:val="28"/>
          <w:szCs w:val="28"/>
        </w:rPr>
        <w:t xml:space="preserve"> </w:t>
      </w:r>
      <w:proofErr w:type="spellStart"/>
      <w:r>
        <w:rPr>
          <w:sz w:val="28"/>
          <w:szCs w:val="28"/>
        </w:rPr>
        <w:t>вартість</w:t>
      </w:r>
      <w:proofErr w:type="spellEnd"/>
      <w:r>
        <w:rPr>
          <w:sz w:val="28"/>
          <w:szCs w:val="28"/>
        </w:rPr>
        <w:t xml:space="preserve"> предмета </w:t>
      </w:r>
      <w:proofErr w:type="spellStart"/>
      <w:r>
        <w:rPr>
          <w:sz w:val="28"/>
          <w:szCs w:val="28"/>
        </w:rPr>
        <w:t>закупівлі</w:t>
      </w:r>
      <w:proofErr w:type="spellEnd"/>
      <w:r>
        <w:rPr>
          <w:sz w:val="28"/>
          <w:szCs w:val="28"/>
        </w:rPr>
        <w:t xml:space="preserve"> </w:t>
      </w:r>
      <w:proofErr w:type="spellStart"/>
      <w:r>
        <w:rPr>
          <w:sz w:val="28"/>
          <w:szCs w:val="28"/>
        </w:rPr>
        <w:t>визначена</w:t>
      </w:r>
      <w:proofErr w:type="spellEnd"/>
      <w:r>
        <w:rPr>
          <w:sz w:val="28"/>
          <w:szCs w:val="28"/>
        </w:rPr>
        <w:t xml:space="preserve"> </w:t>
      </w:r>
      <w:proofErr w:type="spellStart"/>
      <w:r>
        <w:rPr>
          <w:sz w:val="28"/>
          <w:szCs w:val="28"/>
        </w:rPr>
        <w:t>відповідно</w:t>
      </w:r>
      <w:proofErr w:type="spellEnd"/>
      <w:r>
        <w:rPr>
          <w:sz w:val="28"/>
          <w:szCs w:val="28"/>
        </w:rPr>
        <w:t xml:space="preserve"> </w:t>
      </w:r>
      <w:proofErr w:type="gramStart"/>
      <w:r>
        <w:rPr>
          <w:sz w:val="28"/>
          <w:szCs w:val="28"/>
        </w:rPr>
        <w:t>до наказу</w:t>
      </w:r>
      <w:proofErr w:type="gramEnd"/>
      <w:r>
        <w:rPr>
          <w:sz w:val="28"/>
          <w:szCs w:val="28"/>
        </w:rPr>
        <w:t xml:space="preserve">         ПАТ «Центренерго» № 53 </w:t>
      </w:r>
      <w:proofErr w:type="spellStart"/>
      <w:r>
        <w:rPr>
          <w:sz w:val="28"/>
          <w:szCs w:val="28"/>
        </w:rPr>
        <w:t>від</w:t>
      </w:r>
      <w:proofErr w:type="spellEnd"/>
      <w:r>
        <w:rPr>
          <w:sz w:val="28"/>
          <w:szCs w:val="28"/>
        </w:rPr>
        <w:t xml:space="preserve"> 11.09.2020 та на </w:t>
      </w:r>
      <w:proofErr w:type="spellStart"/>
      <w:r>
        <w:rPr>
          <w:sz w:val="28"/>
          <w:szCs w:val="28"/>
        </w:rPr>
        <w:t>підставі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цін</w:t>
      </w:r>
      <w:proofErr w:type="spellEnd"/>
      <w:r>
        <w:rPr>
          <w:sz w:val="28"/>
          <w:szCs w:val="28"/>
          <w:lang w:val="uk-UA"/>
        </w:rPr>
        <w:t>.</w:t>
      </w:r>
    </w:p>
    <w:p w14:paraId="04ECC1F1" w14:textId="77777777" w:rsidR="006609A4" w:rsidRDefault="006609A4" w:rsidP="006609A4">
      <w:pPr>
        <w:spacing w:line="360" w:lineRule="auto"/>
        <w:ind w:firstLine="709"/>
        <w:jc w:val="both"/>
        <w:rPr>
          <w:sz w:val="28"/>
          <w:szCs w:val="28"/>
          <w:lang w:val="uk-UA"/>
        </w:rPr>
      </w:pPr>
    </w:p>
    <w:p w14:paraId="09D8EDA8" w14:textId="77777777" w:rsidR="006609A4" w:rsidRDefault="006609A4" w:rsidP="006609A4">
      <w:pPr>
        <w:spacing w:line="360" w:lineRule="auto"/>
        <w:ind w:firstLine="709"/>
        <w:jc w:val="both"/>
        <w:rPr>
          <w:sz w:val="28"/>
          <w:szCs w:val="28"/>
          <w:lang w:val="uk-UA"/>
        </w:rPr>
      </w:pPr>
    </w:p>
    <w:tbl>
      <w:tblPr>
        <w:tblW w:w="0" w:type="auto"/>
        <w:tblLayout w:type="fixed"/>
        <w:tblLook w:val="04A0" w:firstRow="1" w:lastRow="0" w:firstColumn="1" w:lastColumn="0" w:noHBand="0" w:noVBand="1"/>
      </w:tblPr>
      <w:tblGrid>
        <w:gridCol w:w="7470"/>
        <w:gridCol w:w="2810"/>
      </w:tblGrid>
      <w:tr w:rsidR="006609A4" w14:paraId="0B44DE2C" w14:textId="77777777" w:rsidTr="006609A4">
        <w:trPr>
          <w:trHeight w:val="720"/>
        </w:trPr>
        <w:tc>
          <w:tcPr>
            <w:tcW w:w="7470" w:type="dxa"/>
            <w:vAlign w:val="center"/>
          </w:tcPr>
          <w:p w14:paraId="6222005B" w14:textId="77777777" w:rsidR="006609A4" w:rsidRDefault="006609A4">
            <w:pPr>
              <w:tabs>
                <w:tab w:val="left" w:pos="0"/>
              </w:tabs>
              <w:snapToGrid w:val="0"/>
              <w:spacing w:line="276" w:lineRule="auto"/>
              <w:rPr>
                <w:bCs/>
                <w:sz w:val="28"/>
                <w:szCs w:val="28"/>
                <w:lang w:val="uk-UA"/>
              </w:rPr>
            </w:pPr>
          </w:p>
          <w:p w14:paraId="4D749814" w14:textId="77777777" w:rsidR="006609A4" w:rsidRDefault="006609A4">
            <w:pPr>
              <w:tabs>
                <w:tab w:val="left" w:pos="0"/>
              </w:tabs>
              <w:spacing w:line="276" w:lineRule="auto"/>
              <w:rPr>
                <w:lang w:val="uk-UA"/>
              </w:rPr>
            </w:pPr>
            <w:r>
              <w:rPr>
                <w:bCs/>
                <w:i/>
                <w:lang w:val="uk-UA"/>
              </w:rPr>
              <w:t xml:space="preserve">       Виконавець процедури закупівлі:</w:t>
            </w:r>
          </w:p>
          <w:p w14:paraId="0CFB0E56" w14:textId="77777777" w:rsidR="006609A4" w:rsidRDefault="006609A4">
            <w:pPr>
              <w:tabs>
                <w:tab w:val="left" w:pos="0"/>
              </w:tabs>
              <w:spacing w:line="276" w:lineRule="auto"/>
              <w:rPr>
                <w:lang w:val="uk-UA"/>
              </w:rPr>
            </w:pPr>
            <w:r>
              <w:rPr>
                <w:bCs/>
                <w:sz w:val="28"/>
                <w:szCs w:val="28"/>
                <w:lang w:val="uk-UA"/>
              </w:rPr>
              <w:t xml:space="preserve">      Начальник  ВМТП</w:t>
            </w:r>
          </w:p>
        </w:tc>
        <w:tc>
          <w:tcPr>
            <w:tcW w:w="2810" w:type="dxa"/>
            <w:vAlign w:val="center"/>
          </w:tcPr>
          <w:p w14:paraId="1661AF45" w14:textId="77777777" w:rsidR="006609A4" w:rsidRDefault="006609A4">
            <w:pPr>
              <w:tabs>
                <w:tab w:val="left" w:pos="0"/>
              </w:tabs>
              <w:snapToGrid w:val="0"/>
              <w:spacing w:line="276" w:lineRule="auto"/>
              <w:rPr>
                <w:bCs/>
                <w:sz w:val="28"/>
                <w:szCs w:val="28"/>
                <w:lang w:val="uk-UA"/>
              </w:rPr>
            </w:pPr>
          </w:p>
          <w:p w14:paraId="3C8D9C1E" w14:textId="77777777" w:rsidR="006609A4" w:rsidRDefault="006609A4">
            <w:pPr>
              <w:tabs>
                <w:tab w:val="left" w:pos="0"/>
              </w:tabs>
              <w:spacing w:line="276" w:lineRule="auto"/>
              <w:rPr>
                <w:bCs/>
                <w:sz w:val="28"/>
                <w:szCs w:val="28"/>
                <w:lang w:val="uk-UA"/>
              </w:rPr>
            </w:pPr>
          </w:p>
          <w:p w14:paraId="1FAB11A1" w14:textId="77777777" w:rsidR="006609A4" w:rsidRDefault="006609A4">
            <w:pPr>
              <w:tabs>
                <w:tab w:val="left" w:pos="0"/>
              </w:tabs>
              <w:spacing w:line="276" w:lineRule="auto"/>
              <w:rPr>
                <w:bCs/>
                <w:sz w:val="28"/>
                <w:szCs w:val="28"/>
                <w:lang w:val="uk-UA"/>
              </w:rPr>
            </w:pPr>
          </w:p>
          <w:p w14:paraId="00D00218" w14:textId="77777777" w:rsidR="006609A4" w:rsidRDefault="006609A4">
            <w:pPr>
              <w:tabs>
                <w:tab w:val="left" w:pos="0"/>
              </w:tabs>
              <w:spacing w:line="276" w:lineRule="auto"/>
              <w:rPr>
                <w:lang w:val="uk-UA"/>
              </w:rPr>
            </w:pPr>
            <w:r>
              <w:rPr>
                <w:bCs/>
                <w:sz w:val="28"/>
                <w:szCs w:val="28"/>
                <w:lang w:val="uk-UA"/>
              </w:rPr>
              <w:t>М.І. Мельник</w:t>
            </w:r>
          </w:p>
          <w:p w14:paraId="46ECF376" w14:textId="77777777" w:rsidR="006609A4" w:rsidRDefault="006609A4">
            <w:pPr>
              <w:tabs>
                <w:tab w:val="left" w:pos="0"/>
              </w:tabs>
              <w:spacing w:line="276" w:lineRule="auto"/>
              <w:rPr>
                <w:bCs/>
                <w:sz w:val="28"/>
                <w:szCs w:val="28"/>
                <w:lang w:val="uk-UA"/>
              </w:rPr>
            </w:pPr>
          </w:p>
        </w:tc>
      </w:tr>
    </w:tbl>
    <w:p w14:paraId="6C0BF6ED" w14:textId="77777777" w:rsidR="006609A4" w:rsidRDefault="006609A4" w:rsidP="006609A4">
      <w:pPr>
        <w:spacing w:line="360" w:lineRule="auto"/>
        <w:ind w:firstLine="709"/>
        <w:jc w:val="both"/>
        <w:rPr>
          <w:sz w:val="28"/>
          <w:szCs w:val="28"/>
          <w:lang w:val="uk-UA" w:eastAsia="zh-CN"/>
        </w:rPr>
      </w:pPr>
    </w:p>
    <w:p w14:paraId="220CE41A" w14:textId="77777777" w:rsidR="006609A4" w:rsidRDefault="006609A4" w:rsidP="006609A4">
      <w:pPr>
        <w:tabs>
          <w:tab w:val="left" w:pos="6096"/>
        </w:tabs>
        <w:spacing w:before="360"/>
        <w:jc w:val="both"/>
        <w:rPr>
          <w:b/>
          <w:sz w:val="28"/>
          <w:szCs w:val="28"/>
          <w:lang w:val="uk-UA"/>
        </w:rPr>
      </w:pPr>
    </w:p>
    <w:p w14:paraId="22577C50" w14:textId="77777777" w:rsidR="006609A4" w:rsidRDefault="006609A4"/>
    <w:p w14:paraId="31B1A68F" w14:textId="77777777" w:rsidR="006609A4" w:rsidRDefault="006609A4"/>
    <w:p w14:paraId="137CF4B2" w14:textId="77777777" w:rsidR="006609A4" w:rsidRDefault="006609A4"/>
    <w:p w14:paraId="6AFF1DD1" w14:textId="77777777" w:rsidR="006609A4" w:rsidRDefault="006609A4"/>
    <w:p w14:paraId="07B8C4A9" w14:textId="77777777" w:rsidR="006609A4" w:rsidRDefault="006609A4"/>
    <w:sectPr w:rsidR="00660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905"/>
    <w:rsid w:val="006609A4"/>
    <w:rsid w:val="00887B68"/>
    <w:rsid w:val="00B234FD"/>
    <w:rsid w:val="00B439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B6D5"/>
  <w15:docId w15:val="{55AEEA3B-289A-4527-8E9C-37C4CEC1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B6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887B68"/>
    <w:pPr>
      <w:spacing w:after="120" w:line="480" w:lineRule="auto"/>
      <w:ind w:left="283"/>
    </w:pPr>
    <w:rPr>
      <w:sz w:val="20"/>
      <w:szCs w:val="20"/>
      <w:lang w:val="uk-UA"/>
    </w:rPr>
  </w:style>
  <w:style w:type="character" w:customStyle="1" w:styleId="20">
    <w:name w:val="Основний текст з відступом 2 Знак"/>
    <w:basedOn w:val="a0"/>
    <w:link w:val="2"/>
    <w:semiHidden/>
    <w:rsid w:val="00887B68"/>
    <w:rPr>
      <w:rFonts w:ascii="Times New Roman" w:eastAsia="Times New Roman" w:hAnsi="Times New Roman" w:cs="Times New Roman"/>
      <w:sz w:val="20"/>
      <w:szCs w:val="20"/>
      <w:lang w:eastAsia="ru-RU"/>
    </w:rPr>
  </w:style>
  <w:style w:type="paragraph" w:customStyle="1" w:styleId="14">
    <w:name w:val="Обычный + 14 пт"/>
    <w:aliases w:val="По центру"/>
    <w:basedOn w:val="a"/>
    <w:rsid w:val="00887B68"/>
    <w:pPr>
      <w:ind w:firstLine="900"/>
      <w:jc w:val="both"/>
    </w:pPr>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00986">
      <w:bodyDiv w:val="1"/>
      <w:marLeft w:val="0"/>
      <w:marRight w:val="0"/>
      <w:marTop w:val="0"/>
      <w:marBottom w:val="0"/>
      <w:divBdr>
        <w:top w:val="none" w:sz="0" w:space="0" w:color="auto"/>
        <w:left w:val="none" w:sz="0" w:space="0" w:color="auto"/>
        <w:bottom w:val="none" w:sz="0" w:space="0" w:color="auto"/>
        <w:right w:val="none" w:sz="0" w:space="0" w:color="auto"/>
      </w:divBdr>
    </w:div>
    <w:div w:id="20826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Єгорова Оксана</cp:lastModifiedBy>
  <cp:revision>2</cp:revision>
  <dcterms:created xsi:type="dcterms:W3CDTF">2023-07-19T08:01:00Z</dcterms:created>
  <dcterms:modified xsi:type="dcterms:W3CDTF">2023-07-19T08:01:00Z</dcterms:modified>
</cp:coreProperties>
</file>