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D09B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ПРОТОКОЛ №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20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/2019</w:t>
      </w:r>
    </w:p>
    <w:p w14:paraId="18297DC9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</w:p>
    <w:p w14:paraId="0ACB59B2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Публічного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акціонерного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«Центренерго»</w:t>
      </w:r>
    </w:p>
    <w:p w14:paraId="363CB4B1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1ECB886" w14:textId="77777777" w:rsidR="00AA3F2C" w:rsidRPr="00C27607" w:rsidRDefault="00AA3F2C" w:rsidP="00AA3F2C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м.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Київ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</w:t>
      </w:r>
      <w:r w:rsidR="00D528F5">
        <w:rPr>
          <w:rFonts w:ascii="Times New Roman" w:eastAsia="Times New Roman" w:hAnsi="Times New Roman"/>
          <w:sz w:val="28"/>
          <w:szCs w:val="28"/>
          <w:lang w:val="uk-UA" w:eastAsia="uk-UA"/>
        </w:rPr>
        <w:t>24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528F5">
        <w:rPr>
          <w:rFonts w:ascii="Times New Roman" w:eastAsia="Times New Roman" w:hAnsi="Times New Roman"/>
          <w:sz w:val="28"/>
          <w:szCs w:val="28"/>
          <w:lang w:val="uk-UA" w:eastAsia="uk-UA"/>
        </w:rPr>
        <w:t>жовтня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</w:p>
    <w:p w14:paraId="016FDECD" w14:textId="77777777" w:rsidR="00AA3F2C" w:rsidRPr="00E831ED" w:rsidRDefault="00AA3F2C" w:rsidP="00AA3F2C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</w:t>
      </w:r>
      <w:r w:rsidR="00D528F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15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.00</w:t>
      </w:r>
    </w:p>
    <w:p w14:paraId="3BC30416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Місце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проведення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вул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Генерала Алмазова, 18/9,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каб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 304.</w:t>
      </w:r>
    </w:p>
    <w:p w14:paraId="4380A0E0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38A8915C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Присутні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35DD440C" w14:textId="77777777" w:rsidR="00AA3F2C" w:rsidRPr="00E831ED" w:rsidRDefault="00AA3F2C" w:rsidP="00AA3F2C">
      <w:pPr>
        <w:spacing w:after="0" w:line="240" w:lineRule="auto"/>
        <w:ind w:right="-159"/>
        <w:rPr>
          <w:rFonts w:ascii="Times New Roman" w:eastAsia="Times-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Голова Наглядової ради</w:t>
      </w:r>
    </w:p>
    <w:p w14:paraId="04886119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Прово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Олександр Петрович</w:t>
      </w:r>
    </w:p>
    <w:p w14:paraId="7F019C4C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-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Члени Наглядової ради</w:t>
      </w:r>
    </w:p>
    <w:p w14:paraId="7BD613DB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Присяжнюк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Ігор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Володимирович</w:t>
      </w:r>
      <w:proofErr w:type="spellEnd"/>
    </w:p>
    <w:p w14:paraId="5EC4A953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Чорний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Вячеслав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Валерійович</w:t>
      </w:r>
      <w:proofErr w:type="spellEnd"/>
    </w:p>
    <w:p w14:paraId="39A0BD3A" w14:textId="77777777" w:rsidR="00AA3F2C" w:rsidRDefault="00841E1B" w:rsidP="00841E1B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Відсут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14:paraId="66883F5F" w14:textId="77777777" w:rsidR="00841E1B" w:rsidRPr="00E831ED" w:rsidRDefault="00841E1B" w:rsidP="00841E1B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Коротка 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Олена</w:t>
      </w:r>
      <w:proofErr w:type="spellEnd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Микола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ї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вна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13F40F88" w14:textId="77777777" w:rsidR="003E1062" w:rsidRPr="00E831ED" w:rsidRDefault="003E1062" w:rsidP="003E1062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7A6B">
        <w:rPr>
          <w:rFonts w:ascii="Times New Roman" w:eastAsia="Times New Roman" w:hAnsi="Times New Roman"/>
          <w:sz w:val="28"/>
          <w:szCs w:val="28"/>
          <w:lang w:eastAsia="uk-UA"/>
        </w:rPr>
        <w:t>Стегній Микола Григорович</w:t>
      </w:r>
    </w:p>
    <w:p w14:paraId="15049D17" w14:textId="77777777" w:rsidR="00841E1B" w:rsidRPr="00E831ED" w:rsidRDefault="00841E1B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D0B362C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Секретар Наглядової Ради</w:t>
      </w:r>
    </w:p>
    <w:p w14:paraId="622A2660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Кулик Діна Михайлівна</w:t>
      </w:r>
    </w:p>
    <w:p w14:paraId="060F1C67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CC141A3" w14:textId="142563F4" w:rsidR="00AA3F2C" w:rsidRPr="00E831ED" w:rsidRDefault="00AA3F2C" w:rsidP="00AA3F2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Секретар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ПАТ «Центренерго»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Кулик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9D485E" w:rsidRPr="009D485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повідоми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ла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сьогоднішньому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присутні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013E2" w:rsidRPr="00D013E2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F57827">
        <w:rPr>
          <w:rFonts w:ascii="Times New Roman" w:eastAsia="Times New Roman" w:hAnsi="Times New Roman"/>
          <w:sz w:val="28"/>
          <w:szCs w:val="28"/>
          <w:lang w:eastAsia="uk-UA"/>
        </w:rPr>
        <w:t xml:space="preserve"> член</w:t>
      </w:r>
      <w:r w:rsidR="00841E1B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Таким чином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до Статуту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A1BB1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та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всі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прийняті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ньому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рішення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є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правомочними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14:paraId="6CFFAFC0" w14:textId="77777777" w:rsidR="00AA3F2C" w:rsidRPr="00E831ED" w:rsidRDefault="00AA3F2C" w:rsidP="00AA3F2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hAnsi="Times New Roman"/>
          <w:bCs/>
          <w:sz w:val="28"/>
          <w:szCs w:val="28"/>
          <w:lang w:val="uk-UA"/>
        </w:rPr>
        <w:t>Голова Наглядової ради Товариства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Прово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запропонував провести це засідання з таким порядком денним:</w:t>
      </w:r>
    </w:p>
    <w:p w14:paraId="28065907" w14:textId="606CCE3A" w:rsidR="00AA3F2C" w:rsidRPr="00841E1B" w:rsidRDefault="00841E1B" w:rsidP="00D013E2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41E1B">
        <w:rPr>
          <w:rFonts w:ascii="Times New Roman" w:hAnsi="Times New Roman"/>
          <w:sz w:val="28"/>
          <w:szCs w:val="28"/>
          <w:lang w:val="uk-UA"/>
        </w:rPr>
        <w:t xml:space="preserve">Прийняття рішення про надання ПАТ «Центренерго» згоди на вчинення значного правочину, а саме на зарахування зустрічних однорідних вимог між </w:t>
      </w:r>
      <w:r w:rsidR="00D013E2" w:rsidRPr="00D013E2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41E1B">
        <w:rPr>
          <w:rFonts w:ascii="Times New Roman" w:hAnsi="Times New Roman"/>
          <w:sz w:val="28"/>
          <w:szCs w:val="28"/>
          <w:lang w:val="uk-UA"/>
        </w:rPr>
        <w:t>ПАТ «Центренерго» та АТ «Українська залізниця» в особі  регіональної філії «Південна залізниця» АТ «Українська залізниця» на суму 9874,20 грн.</w:t>
      </w:r>
    </w:p>
    <w:p w14:paraId="16923A30" w14:textId="77777777" w:rsidR="00AA3F2C" w:rsidRPr="00E831ED" w:rsidRDefault="00AA3F2C" w:rsidP="00AA3F2C">
      <w:pPr>
        <w:pStyle w:val="a3"/>
        <w:spacing w:after="0" w:line="240" w:lineRule="auto"/>
        <w:ind w:left="0" w:firstLine="49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Всі присутні на цьому засіданні члени Наглядової ради погодились із запропонованим порядком денним.</w:t>
      </w:r>
    </w:p>
    <w:p w14:paraId="02CEF259" w14:textId="77777777" w:rsidR="00AA3F2C" w:rsidRPr="00E831ED" w:rsidRDefault="00AA3F2C" w:rsidP="00AA3F2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5833E891" w14:textId="77777777" w:rsidR="00AA3F2C" w:rsidRPr="00E831ED" w:rsidRDefault="00AA3F2C" w:rsidP="00AA3F2C">
      <w:pPr>
        <w:spacing w:after="0" w:line="240" w:lineRule="auto"/>
        <w:ind w:right="228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РОЗГЛЯД ПИТАНЬ ПОРЯДКУ ДЕННОГО:</w:t>
      </w:r>
    </w:p>
    <w:p w14:paraId="5A6DF145" w14:textId="77777777" w:rsidR="00AA3F2C" w:rsidRDefault="00AA3F2C" w:rsidP="00AA3F2C">
      <w:pPr>
        <w:spacing w:after="0" w:line="240" w:lineRule="auto"/>
        <w:ind w:left="180" w:right="22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6CDD8CE" w14:textId="77777777" w:rsidR="00841E1B" w:rsidRPr="00841E1B" w:rsidRDefault="00841E1B" w:rsidP="00D013E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841E1B">
        <w:rPr>
          <w:rFonts w:ascii="Times New Roman" w:hAnsi="Times New Roman"/>
          <w:b/>
          <w:sz w:val="28"/>
          <w:szCs w:val="28"/>
          <w:lang w:val="uk-UA"/>
        </w:rPr>
        <w:t xml:space="preserve">Прийняття рішення про надання ПАТ «Центренерго» згоди на вчинення значного правочину, а саме на зарахування зустрічних однорідних вимог між ПАТ «Центренерго» та АТ «Українська залізниця» в особі  регіональної філії «Південна залізниця»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1E1B">
        <w:rPr>
          <w:rFonts w:ascii="Times New Roman" w:hAnsi="Times New Roman"/>
          <w:b/>
          <w:sz w:val="28"/>
          <w:szCs w:val="28"/>
          <w:lang w:val="uk-UA"/>
        </w:rPr>
        <w:t>АТ «Українська залізниця» на суму 9874,20 грн.</w:t>
      </w:r>
    </w:p>
    <w:p w14:paraId="62033086" w14:textId="77777777" w:rsidR="00841E1B" w:rsidRPr="00841E1B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СЛУХАЛИ Голову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ПАТ «Центренерго»</w:t>
      </w:r>
      <w:r w:rsidRPr="00E831ED">
        <w:rPr>
          <w:rFonts w:ascii="Times New Roman" w:hAnsi="Times New Roman"/>
          <w:sz w:val="28"/>
          <w:szCs w:val="28"/>
          <w:lang w:val="uk-UA"/>
        </w:rPr>
        <w:br/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Провоторова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</w:t>
      </w:r>
      <w:r w:rsidR="00203919" w:rsidRPr="0020391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П.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, який повідомив, що до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надійшли документи від ПАТ «Центренерго» (лист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1E1B">
        <w:rPr>
          <w:rFonts w:ascii="Times New Roman" w:hAnsi="Times New Roman"/>
          <w:sz w:val="28"/>
          <w:szCs w:val="28"/>
          <w:lang w:val="uk-UA"/>
        </w:rPr>
        <w:t>04.09.2019 № 02/2739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щодо п</w:t>
      </w:r>
      <w:r w:rsidRPr="00841E1B">
        <w:rPr>
          <w:rFonts w:ascii="Times New Roman" w:hAnsi="Times New Roman"/>
          <w:sz w:val="28"/>
          <w:szCs w:val="28"/>
          <w:lang w:val="uk-UA"/>
        </w:rPr>
        <w:t xml:space="preserve">рийняти рішення про надання ПАТ «Центренерго» згоди на вчинення значних правочинів,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 </w:t>
      </w:r>
      <w:r w:rsidRPr="00841E1B">
        <w:rPr>
          <w:rFonts w:ascii="Times New Roman" w:hAnsi="Times New Roman"/>
          <w:sz w:val="28"/>
          <w:szCs w:val="28"/>
          <w:lang w:val="uk-UA"/>
        </w:rPr>
        <w:t xml:space="preserve">на зарахування зустрічних однорідних вимог між ПАТ «Центренерго» та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841E1B">
        <w:rPr>
          <w:rFonts w:ascii="Times New Roman" w:hAnsi="Times New Roman"/>
          <w:sz w:val="28"/>
          <w:szCs w:val="28"/>
          <w:lang w:val="uk-UA"/>
        </w:rPr>
        <w:lastRenderedPageBreak/>
        <w:t>АТ «Українська залізниця» в особі регіональної філії «Південна залізниця»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841E1B">
        <w:rPr>
          <w:rFonts w:ascii="Times New Roman" w:hAnsi="Times New Roman"/>
          <w:sz w:val="28"/>
          <w:szCs w:val="28"/>
          <w:lang w:val="uk-UA"/>
        </w:rPr>
        <w:t xml:space="preserve">АТ «Українська залізниця» на загальну суму </w:t>
      </w:r>
      <w:r w:rsidR="009D485E">
        <w:rPr>
          <w:rFonts w:ascii="Times New Roman" w:hAnsi="Times New Roman"/>
          <w:sz w:val="28"/>
          <w:szCs w:val="28"/>
          <w:lang w:val="uk-UA"/>
        </w:rPr>
        <w:t>9874,</w:t>
      </w:r>
      <w:r w:rsidR="009D485E" w:rsidRPr="009D485E">
        <w:rPr>
          <w:rFonts w:ascii="Times New Roman" w:hAnsi="Times New Roman"/>
          <w:sz w:val="28"/>
          <w:szCs w:val="28"/>
          <w:lang w:val="uk-UA"/>
        </w:rPr>
        <w:t>20</w:t>
      </w:r>
      <w:r w:rsidRPr="00841E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1E1B">
        <w:rPr>
          <w:rFonts w:ascii="Times New Roman" w:hAnsi="Times New Roman"/>
          <w:sz w:val="28"/>
          <w:szCs w:val="28"/>
          <w:lang w:val="uk-UA"/>
        </w:rPr>
        <w:t>грн.</w:t>
      </w:r>
    </w:p>
    <w:p w14:paraId="2F696EC8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3D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2963D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963DF">
        <w:rPr>
          <w:rFonts w:ascii="Times New Roman" w:hAnsi="Times New Roman"/>
          <w:sz w:val="28"/>
          <w:szCs w:val="28"/>
        </w:rPr>
        <w:t>акціонерні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963DF">
        <w:rPr>
          <w:rFonts w:ascii="Times New Roman" w:hAnsi="Times New Roman"/>
          <w:sz w:val="28"/>
          <w:szCs w:val="28"/>
        </w:rPr>
        <w:t>п.п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. 29 п.17.3 </w:t>
      </w:r>
      <w:proofErr w:type="spellStart"/>
      <w:r w:rsidRPr="002963DF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17 Статуту ПАТ «Центренерго», до </w:t>
      </w:r>
      <w:proofErr w:type="spellStart"/>
      <w:r w:rsidRPr="002963DF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85E" w:rsidRPr="002963DF">
        <w:rPr>
          <w:rFonts w:ascii="Times New Roman" w:hAnsi="Times New Roman"/>
          <w:sz w:val="28"/>
          <w:szCs w:val="28"/>
        </w:rPr>
        <w:t>Наглядової</w:t>
      </w:r>
      <w:proofErr w:type="spellEnd"/>
      <w:r w:rsidR="009D485E" w:rsidRPr="002963DF">
        <w:rPr>
          <w:rFonts w:ascii="Times New Roman" w:hAnsi="Times New Roman"/>
          <w:sz w:val="28"/>
          <w:szCs w:val="28"/>
        </w:rPr>
        <w:t xml:space="preserve"> </w:t>
      </w:r>
      <w:r w:rsidRPr="002963DF">
        <w:rPr>
          <w:rFonts w:ascii="Times New Roman" w:hAnsi="Times New Roman"/>
          <w:sz w:val="28"/>
          <w:szCs w:val="28"/>
        </w:rPr>
        <w:t xml:space="preserve">ради </w:t>
      </w:r>
      <w:proofErr w:type="spellStart"/>
      <w:r w:rsidRPr="002963DF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рішень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963D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згоди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63DF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значних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правочинів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63DF">
        <w:rPr>
          <w:rFonts w:ascii="Times New Roman" w:hAnsi="Times New Roman"/>
          <w:sz w:val="28"/>
          <w:szCs w:val="28"/>
        </w:rPr>
        <w:t>зокрема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63DF">
        <w:rPr>
          <w:rFonts w:ascii="Times New Roman" w:hAnsi="Times New Roman"/>
          <w:sz w:val="28"/>
          <w:szCs w:val="28"/>
        </w:rPr>
        <w:t>угод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963DF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зустрічних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однорідних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вимог</w:t>
      </w:r>
      <w:proofErr w:type="spellEnd"/>
      <w:r w:rsidRPr="002963DF">
        <w:rPr>
          <w:rFonts w:ascii="Times New Roman" w:hAnsi="Times New Roman"/>
          <w:sz w:val="28"/>
          <w:szCs w:val="28"/>
        </w:rPr>
        <w:t>.</w:t>
      </w:r>
    </w:p>
    <w:p w14:paraId="7ACBA9EC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3DF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вищевикладене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, </w:t>
      </w:r>
      <w:r w:rsidRPr="002963DF">
        <w:rPr>
          <w:rFonts w:ascii="Times New Roman" w:hAnsi="Times New Roman"/>
          <w:i/>
          <w:sz w:val="28"/>
          <w:szCs w:val="28"/>
        </w:rPr>
        <w:t xml:space="preserve">вніс на </w:t>
      </w:r>
      <w:proofErr w:type="spellStart"/>
      <w:r w:rsidRPr="002963DF">
        <w:rPr>
          <w:rFonts w:ascii="Times New Roman" w:hAnsi="Times New Roman"/>
          <w:i/>
          <w:sz w:val="28"/>
          <w:szCs w:val="28"/>
        </w:rPr>
        <w:t>голосування</w:t>
      </w:r>
      <w:proofErr w:type="spellEnd"/>
      <w:r w:rsidRPr="002963DF">
        <w:rPr>
          <w:rFonts w:ascii="Times New Roman" w:hAnsi="Times New Roman"/>
          <w:i/>
          <w:sz w:val="28"/>
          <w:szCs w:val="28"/>
        </w:rPr>
        <w:t xml:space="preserve"> проект </w:t>
      </w:r>
      <w:proofErr w:type="spellStart"/>
      <w:r w:rsidRPr="002963DF">
        <w:rPr>
          <w:rFonts w:ascii="Times New Roman" w:hAnsi="Times New Roman"/>
          <w:i/>
          <w:sz w:val="28"/>
          <w:szCs w:val="28"/>
        </w:rPr>
        <w:t>рішення</w:t>
      </w:r>
      <w:proofErr w:type="spellEnd"/>
      <w:r w:rsidRPr="002963DF">
        <w:rPr>
          <w:rFonts w:ascii="Times New Roman" w:hAnsi="Times New Roman"/>
          <w:sz w:val="28"/>
          <w:szCs w:val="28"/>
        </w:rPr>
        <w:t>:</w:t>
      </w:r>
    </w:p>
    <w:p w14:paraId="7242B692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63DF">
        <w:rPr>
          <w:rFonts w:ascii="Times New Roman" w:hAnsi="Times New Roman"/>
          <w:sz w:val="28"/>
          <w:szCs w:val="28"/>
        </w:rPr>
        <w:t>«</w:t>
      </w:r>
      <w:proofErr w:type="spellStart"/>
      <w:r w:rsidRPr="00841E1B">
        <w:rPr>
          <w:rFonts w:ascii="Times New Roman" w:hAnsi="Times New Roman"/>
          <w:sz w:val="28"/>
          <w:szCs w:val="28"/>
        </w:rPr>
        <w:t>Прийняти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41E1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згоди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41E1B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значного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правочину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41E1B">
        <w:rPr>
          <w:rFonts w:ascii="Times New Roman" w:hAnsi="Times New Roman"/>
          <w:sz w:val="28"/>
          <w:szCs w:val="28"/>
        </w:rPr>
        <w:t>саме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41E1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зустрічних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однорідних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вимог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між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ПАТ «Центренерго» та </w:t>
      </w:r>
      <w:r>
        <w:rPr>
          <w:rFonts w:ascii="Times New Roman" w:hAnsi="Times New Roman"/>
          <w:sz w:val="28"/>
          <w:szCs w:val="28"/>
        </w:rPr>
        <w:br/>
      </w:r>
      <w:r w:rsidRPr="00841E1B">
        <w:rPr>
          <w:rFonts w:ascii="Times New Roman" w:hAnsi="Times New Roman"/>
          <w:sz w:val="28"/>
          <w:szCs w:val="28"/>
        </w:rPr>
        <w:t>АТ «</w:t>
      </w:r>
      <w:proofErr w:type="spellStart"/>
      <w:r w:rsidRPr="00841E1B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залізниця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841E1B">
        <w:rPr>
          <w:rFonts w:ascii="Times New Roman" w:hAnsi="Times New Roman"/>
          <w:sz w:val="28"/>
          <w:szCs w:val="28"/>
        </w:rPr>
        <w:t>особі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41E1B">
        <w:rPr>
          <w:rFonts w:ascii="Times New Roman" w:hAnsi="Times New Roman"/>
          <w:sz w:val="28"/>
          <w:szCs w:val="28"/>
        </w:rPr>
        <w:t>регіональної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філії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1E1B">
        <w:rPr>
          <w:rFonts w:ascii="Times New Roman" w:hAnsi="Times New Roman"/>
          <w:sz w:val="28"/>
          <w:szCs w:val="28"/>
        </w:rPr>
        <w:t>Південна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залізниця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 w:rsidRPr="00841E1B">
        <w:rPr>
          <w:rFonts w:ascii="Times New Roman" w:hAnsi="Times New Roman"/>
          <w:sz w:val="28"/>
          <w:szCs w:val="28"/>
        </w:rPr>
        <w:t>АТ «</w:t>
      </w:r>
      <w:proofErr w:type="spellStart"/>
      <w:r w:rsidRPr="00841E1B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sz w:val="28"/>
          <w:szCs w:val="28"/>
        </w:rPr>
        <w:t>залізниця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» на суму 9874,20 </w:t>
      </w:r>
      <w:proofErr w:type="spellStart"/>
      <w:r w:rsidRPr="00841E1B">
        <w:rPr>
          <w:rFonts w:ascii="Times New Roman" w:hAnsi="Times New Roman"/>
          <w:sz w:val="28"/>
          <w:szCs w:val="28"/>
        </w:rPr>
        <w:t>грн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1E1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41E1B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1E1B">
        <w:rPr>
          <w:rFonts w:ascii="Times New Roman" w:hAnsi="Times New Roman"/>
          <w:sz w:val="28"/>
          <w:szCs w:val="28"/>
        </w:rPr>
        <w:t>наданих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листом ПАТ «Центренерго» </w:t>
      </w:r>
      <w:proofErr w:type="spellStart"/>
      <w:r w:rsidRPr="00841E1B">
        <w:rPr>
          <w:rFonts w:ascii="Times New Roman" w:hAnsi="Times New Roman"/>
          <w:sz w:val="28"/>
          <w:szCs w:val="28"/>
        </w:rPr>
        <w:t>від</w:t>
      </w:r>
      <w:proofErr w:type="spellEnd"/>
      <w:r w:rsidRPr="00841E1B">
        <w:rPr>
          <w:rFonts w:ascii="Times New Roman" w:hAnsi="Times New Roman"/>
          <w:sz w:val="28"/>
          <w:szCs w:val="28"/>
        </w:rPr>
        <w:t xml:space="preserve"> 04.09.2019 № 02/2739.</w:t>
      </w:r>
      <w:r w:rsidRPr="002963DF">
        <w:rPr>
          <w:rFonts w:ascii="Times New Roman" w:hAnsi="Times New Roman"/>
          <w:sz w:val="28"/>
          <w:szCs w:val="28"/>
        </w:rPr>
        <w:t>»</w:t>
      </w:r>
    </w:p>
    <w:p w14:paraId="0462F85A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3DF">
        <w:rPr>
          <w:rFonts w:ascii="Times New Roman" w:hAnsi="Times New Roman"/>
          <w:sz w:val="28"/>
          <w:szCs w:val="28"/>
        </w:rPr>
        <w:t>Інших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63DF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від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членів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ED4" w:rsidRPr="002963DF">
        <w:rPr>
          <w:rFonts w:ascii="Times New Roman" w:hAnsi="Times New Roman"/>
          <w:sz w:val="28"/>
          <w:szCs w:val="28"/>
        </w:rPr>
        <w:t>Наглядової</w:t>
      </w:r>
      <w:proofErr w:type="spellEnd"/>
      <w:r w:rsidR="00B71ED4" w:rsidRPr="002963DF">
        <w:rPr>
          <w:rFonts w:ascii="Times New Roman" w:hAnsi="Times New Roman"/>
          <w:sz w:val="28"/>
          <w:szCs w:val="28"/>
        </w:rPr>
        <w:t xml:space="preserve"> </w:t>
      </w:r>
      <w:r w:rsidRPr="002963DF">
        <w:rPr>
          <w:rFonts w:ascii="Times New Roman" w:hAnsi="Times New Roman"/>
          <w:sz w:val="28"/>
          <w:szCs w:val="28"/>
        </w:rPr>
        <w:t xml:space="preserve">ради </w:t>
      </w:r>
      <w:proofErr w:type="spellStart"/>
      <w:r w:rsidRPr="002963DF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963DF">
        <w:rPr>
          <w:rFonts w:ascii="Times New Roman" w:hAnsi="Times New Roman"/>
          <w:sz w:val="28"/>
          <w:szCs w:val="28"/>
        </w:rPr>
        <w:t>надходило</w:t>
      </w:r>
      <w:proofErr w:type="spellEnd"/>
      <w:r w:rsidRPr="002963DF">
        <w:rPr>
          <w:rFonts w:ascii="Times New Roman" w:hAnsi="Times New Roman"/>
          <w:sz w:val="28"/>
          <w:szCs w:val="28"/>
        </w:rPr>
        <w:t>.</w:t>
      </w:r>
    </w:p>
    <w:p w14:paraId="63DE4B2B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1F68C7B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63DF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>:</w:t>
      </w:r>
    </w:p>
    <w:p w14:paraId="4A783F0C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t xml:space="preserve">«За» - </w:t>
      </w:r>
      <w:r w:rsidR="003E1062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963DF">
        <w:rPr>
          <w:rFonts w:ascii="Times New Roman" w:hAnsi="Times New Roman"/>
          <w:b/>
          <w:sz w:val="28"/>
          <w:szCs w:val="28"/>
        </w:rPr>
        <w:t xml:space="preserve"> голос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2963DF">
        <w:rPr>
          <w:rFonts w:ascii="Times New Roman" w:hAnsi="Times New Roman"/>
          <w:b/>
          <w:sz w:val="28"/>
          <w:szCs w:val="28"/>
        </w:rPr>
        <w:t xml:space="preserve"> </w:t>
      </w:r>
    </w:p>
    <w:p w14:paraId="02178C93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Проти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» - 0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голосів</w:t>
      </w:r>
      <w:proofErr w:type="spellEnd"/>
    </w:p>
    <w:p w14:paraId="5C789561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Утримались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» - 0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голосів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 </w:t>
      </w:r>
    </w:p>
    <w:p w14:paraId="19078A00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145F1B9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</w:rPr>
        <w:t>ВИРІШИЛИ</w:t>
      </w:r>
      <w:r w:rsidRPr="002963DF">
        <w:rPr>
          <w:rFonts w:ascii="Times New Roman" w:hAnsi="Times New Roman"/>
          <w:b/>
          <w:sz w:val="28"/>
          <w:szCs w:val="28"/>
        </w:rPr>
        <w:t>:</w:t>
      </w:r>
    </w:p>
    <w:p w14:paraId="03572A3E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841E1B">
        <w:rPr>
          <w:rFonts w:ascii="Times New Roman" w:hAnsi="Times New Roman"/>
          <w:b/>
          <w:sz w:val="28"/>
          <w:szCs w:val="28"/>
        </w:rPr>
        <w:t>Прийняти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згоди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вчинення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значного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правочину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, а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саме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зарахування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зустрічних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однорідних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вимог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між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ПАТ «Центренерго» та АТ «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Українська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залізниця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» в </w:t>
      </w:r>
      <w:proofErr w:type="spellStart"/>
      <w:proofErr w:type="gramStart"/>
      <w:r w:rsidRPr="00841E1B">
        <w:rPr>
          <w:rFonts w:ascii="Times New Roman" w:hAnsi="Times New Roman"/>
          <w:b/>
          <w:sz w:val="28"/>
          <w:szCs w:val="28"/>
        </w:rPr>
        <w:t>особі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регіональної</w:t>
      </w:r>
      <w:proofErr w:type="spellEnd"/>
      <w:proofErr w:type="gram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філії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Південна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залізниця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>» АТ «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Українська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залізниця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» на суму 9874,20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документів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наданих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листом ПАТ «Центренерго» </w:t>
      </w:r>
      <w:proofErr w:type="spellStart"/>
      <w:r w:rsidRPr="00841E1B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841E1B">
        <w:rPr>
          <w:rFonts w:ascii="Times New Roman" w:hAnsi="Times New Roman"/>
          <w:b/>
          <w:sz w:val="28"/>
          <w:szCs w:val="28"/>
        </w:rPr>
        <w:t xml:space="preserve"> 04.09.2019 № 02/2739.</w:t>
      </w:r>
    </w:p>
    <w:p w14:paraId="41FC2C71" w14:textId="77777777" w:rsidR="00841E1B" w:rsidRPr="00841E1B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0241D36E" w14:textId="77777777" w:rsidR="00841E1B" w:rsidRPr="002963DF" w:rsidRDefault="00841E1B" w:rsidP="00841E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</w:rPr>
        <w:t>РІШЕННЯ ПРИЙНЯТО.</w:t>
      </w:r>
    </w:p>
    <w:p w14:paraId="3258D769" w14:textId="77777777" w:rsidR="00841E1B" w:rsidRPr="00841E1B" w:rsidRDefault="00841E1B" w:rsidP="00AA3F2C">
      <w:pPr>
        <w:spacing w:after="0" w:line="240" w:lineRule="auto"/>
        <w:ind w:left="180" w:right="228"/>
        <w:jc w:val="both"/>
        <w:rPr>
          <w:rFonts w:ascii="Times New Roman" w:eastAsia="Times New Roman" w:hAnsi="Times New Roman"/>
          <w:b/>
          <w:sz w:val="20"/>
          <w:szCs w:val="20"/>
          <w:lang w:val="uk-UA" w:eastAsia="uk-UA"/>
        </w:rPr>
      </w:pPr>
    </w:p>
    <w:p w14:paraId="154CB6AF" w14:textId="77777777" w:rsidR="00AA3F2C" w:rsidRPr="00E831ED" w:rsidRDefault="00AA3F2C" w:rsidP="00AA3F2C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Засідання Наглядової ради оголошено закритим.</w:t>
      </w:r>
    </w:p>
    <w:p w14:paraId="3B091265" w14:textId="77777777" w:rsidR="00AA3F2C" w:rsidRDefault="00AA3F2C" w:rsidP="00AA3F2C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661376B8" w14:textId="77777777" w:rsidR="00841E1B" w:rsidRPr="00841E1B" w:rsidRDefault="00841E1B" w:rsidP="00AA3F2C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0"/>
          <w:szCs w:val="20"/>
          <w:lang w:val="uk-UA" w:eastAsia="uk-UA"/>
        </w:rPr>
      </w:pPr>
    </w:p>
    <w:p w14:paraId="13BE5C5E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Голова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Наглядової ради:    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__________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О. П. </w:t>
      </w:r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Прово</w:t>
      </w: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 xml:space="preserve"> </w:t>
      </w:r>
    </w:p>
    <w:p w14:paraId="08EA4EBB" w14:textId="77777777" w:rsidR="00AA3F2C" w:rsidRPr="00E831ED" w:rsidRDefault="00AA3F2C" w:rsidP="00AA3F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1FDB017A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Члени Наглядової ради:</w:t>
      </w:r>
    </w:p>
    <w:p w14:paraId="2FD458DF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__________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Присяжнюк</w:t>
      </w:r>
    </w:p>
    <w:p w14:paraId="00623BA8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</w:p>
    <w:p w14:paraId="53974AEF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6E22A7C9" w14:textId="77777777" w:rsidR="00AA3F2C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_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>_________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Чорн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>ий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</w:t>
      </w:r>
    </w:p>
    <w:p w14:paraId="428BC700" w14:textId="77777777" w:rsidR="00AA3F2C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</w:p>
    <w:p w14:paraId="075E23F2" w14:textId="77777777" w:rsidR="006A1BB1" w:rsidRDefault="006A1BB1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</w:t>
      </w:r>
    </w:p>
    <w:p w14:paraId="41959F54" w14:textId="77777777" w:rsidR="00B71ED4" w:rsidRDefault="00B71ED4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240E3DFF" w14:textId="77777777" w:rsidR="00B71ED4" w:rsidRDefault="00B71ED4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516D295E" w14:textId="77777777" w:rsidR="00AA3F2C" w:rsidRPr="00E831ED" w:rsidRDefault="00AA3F2C" w:rsidP="00AA3F2C">
      <w:pPr>
        <w:spacing w:after="0" w:line="240" w:lineRule="auto"/>
        <w:rPr>
          <w:sz w:val="28"/>
          <w:szCs w:val="28"/>
        </w:rPr>
      </w:pP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Секретар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Наглядової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ради: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__________ Д. М. Кулик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sectPr w:rsidR="00AA3F2C" w:rsidRPr="00E831ED" w:rsidSect="00370BDD">
      <w:pgSz w:w="11906" w:h="16838"/>
      <w:pgMar w:top="709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6EF"/>
    <w:multiLevelType w:val="hybridMultilevel"/>
    <w:tmpl w:val="68C48D9E"/>
    <w:lvl w:ilvl="0" w:tplc="411C3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757DC4"/>
    <w:multiLevelType w:val="hybridMultilevel"/>
    <w:tmpl w:val="4FA27EC4"/>
    <w:lvl w:ilvl="0" w:tplc="35A2F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E32377"/>
    <w:multiLevelType w:val="hybridMultilevel"/>
    <w:tmpl w:val="B3BCBFD4"/>
    <w:lvl w:ilvl="0" w:tplc="F7446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2C"/>
    <w:rsid w:val="00203919"/>
    <w:rsid w:val="00225D7D"/>
    <w:rsid w:val="002D0A93"/>
    <w:rsid w:val="003E1062"/>
    <w:rsid w:val="00401427"/>
    <w:rsid w:val="004B2109"/>
    <w:rsid w:val="004C158E"/>
    <w:rsid w:val="006A0B6C"/>
    <w:rsid w:val="006A1BB1"/>
    <w:rsid w:val="00785213"/>
    <w:rsid w:val="00787A6B"/>
    <w:rsid w:val="008343AF"/>
    <w:rsid w:val="00841E1B"/>
    <w:rsid w:val="009D485E"/>
    <w:rsid w:val="00A04FBD"/>
    <w:rsid w:val="00AA3F2C"/>
    <w:rsid w:val="00B71ED4"/>
    <w:rsid w:val="00C473B5"/>
    <w:rsid w:val="00CF60C7"/>
    <w:rsid w:val="00D013E2"/>
    <w:rsid w:val="00D528F5"/>
    <w:rsid w:val="00E33932"/>
    <w:rsid w:val="00E57557"/>
    <w:rsid w:val="00E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D12C"/>
  <w15:docId w15:val="{A3C5BA77-FAA2-4974-ACCE-C251B55F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2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Діна</dc:creator>
  <cp:keywords/>
  <dc:description/>
  <cp:lastModifiedBy>Єгорова Оксана</cp:lastModifiedBy>
  <cp:revision>2</cp:revision>
  <dcterms:created xsi:type="dcterms:W3CDTF">2019-10-25T05:59:00Z</dcterms:created>
  <dcterms:modified xsi:type="dcterms:W3CDTF">2019-10-25T05:59:00Z</dcterms:modified>
</cp:coreProperties>
</file>