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016D55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D55">
        <w:rPr>
          <w:rFonts w:ascii="Times New Roman" w:hAnsi="Times New Roman" w:cs="Times New Roman"/>
          <w:b/>
          <w:bCs/>
          <w:sz w:val="24"/>
          <w:szCs w:val="24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7277F081" w14:textId="77777777" w:rsidR="006B3346" w:rsidRPr="006B3346" w:rsidRDefault="006B3346" w:rsidP="006B33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346">
        <w:rPr>
          <w:rFonts w:ascii="Times New Roman" w:hAnsi="Times New Roman" w:cs="Times New Roman"/>
          <w:b/>
          <w:bCs/>
          <w:sz w:val="24"/>
          <w:szCs w:val="24"/>
        </w:rPr>
        <w:t>64210000-1 Послуги телефонного зв’язку та передачі даних (Послуги телефонного зв'язку та передачі даних)</w:t>
      </w:r>
    </w:p>
    <w:p w14:paraId="7B8A8D7A" w14:textId="28219940" w:rsidR="000F49D2" w:rsidRPr="00016D55" w:rsidRDefault="000F49D2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959F6D5" w14:textId="77777777" w:rsidR="006B3346" w:rsidRPr="006B3346" w:rsidRDefault="00936761" w:rsidP="006B3346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ПАТ «Центренерго» оголошено відкриті торги</w:t>
      </w:r>
      <w:r w:rsidR="00AA3D82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2419F1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 особливостями 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016D55">
        <w:rPr>
          <w:rFonts w:ascii="Times New Roman" w:hAnsi="Times New Roman" w:cs="Times New Roman"/>
          <w:b/>
          <w:bCs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 (далі - Особливості) </w:t>
      </w:r>
      <w:r w:rsidRPr="00016D55">
        <w:rPr>
          <w:rFonts w:ascii="Times New Roman" w:hAnsi="Times New Roman" w:cs="Times New Roman"/>
          <w:sz w:val="24"/>
          <w:szCs w:val="24"/>
        </w:rPr>
        <w:t>на закупівлю: Код ДК 021:2015</w:t>
      </w:r>
      <w:r w:rsidR="00A17A87" w:rsidRPr="00016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346" w:rsidRPr="006B3346">
        <w:rPr>
          <w:rFonts w:ascii="Times New Roman" w:hAnsi="Times New Roman" w:cs="Times New Roman"/>
          <w:b/>
          <w:bCs/>
          <w:sz w:val="24"/>
          <w:szCs w:val="24"/>
        </w:rPr>
        <w:t>64210000-1 Послуги телефонного зв’язку та передачі даних (Послуги телефонного зв'язку та передачі даних)</w:t>
      </w:r>
    </w:p>
    <w:p w14:paraId="246A8B8E" w14:textId="6B5F3D24" w:rsidR="00D8157A" w:rsidRPr="00D8157A" w:rsidRDefault="00D8157A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6C0E" w14:textId="4E8D62E1" w:rsidR="004749F9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закупівель</w:t>
      </w:r>
      <w:r w:rsidR="00016D55">
        <w:rPr>
          <w:rFonts w:ascii="Times New Roman" w:hAnsi="Times New Roman" w:cs="Times New Roman"/>
          <w:sz w:val="24"/>
          <w:szCs w:val="24"/>
        </w:rPr>
        <w:t>:</w:t>
      </w:r>
    </w:p>
    <w:p w14:paraId="1009A8C9" w14:textId="77777777" w:rsidR="00016D55" w:rsidRPr="00016D55" w:rsidRDefault="00016D55" w:rsidP="00016D55">
      <w:pPr>
        <w:widowControl w:val="0"/>
        <w:spacing w:after="0" w:line="276" w:lineRule="auto"/>
        <w:ind w:right="113" w:firstLine="567"/>
        <w:contextualSpacing/>
        <w:jc w:val="both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E996F3" w14:textId="45CBC798" w:rsidR="004432D2" w:rsidRPr="00016D55" w:rsidRDefault="005A1ADF" w:rsidP="00016D55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" w:history="1">
        <w:r w:rsidRPr="00016D5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https://prozorro.gov.ua/uk/tender/</w:t>
        </w:r>
      </w:hyperlink>
      <w:hyperlink r:id="rId5" w:tgtFrame="_blank" w:history="1">
        <w:hyperlink r:id="rId6" w:tgtFrame="_blank" w:history="1">
          <w:r w:rsidR="006B3346" w:rsidRPr="006B3346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</w:rPr>
            <w:t>UA-2026-02-24-003107-a</w:t>
          </w:r>
        </w:hyperlink>
      </w:hyperlink>
    </w:p>
    <w:p w14:paraId="43D6C349" w14:textId="77777777" w:rsidR="005A1ADF" w:rsidRPr="00016D55" w:rsidRDefault="005A1ADF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BC288" w14:textId="74DA3B44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Технічні та якісні характеристики предмета закупівлі визначені відповідно до </w:t>
      </w:r>
      <w:r w:rsidR="00D8157A">
        <w:rPr>
          <w:rFonts w:ascii="Times New Roman" w:hAnsi="Times New Roman" w:cs="Times New Roman"/>
          <w:bCs/>
          <w:sz w:val="24"/>
          <w:szCs w:val="24"/>
        </w:rPr>
        <w:t xml:space="preserve">вимог </w:t>
      </w:r>
      <w:r w:rsidR="006B3346">
        <w:rPr>
          <w:rFonts w:ascii="Times New Roman" w:hAnsi="Times New Roman" w:cs="Times New Roman"/>
          <w:bCs/>
          <w:sz w:val="24"/>
          <w:szCs w:val="24"/>
        </w:rPr>
        <w:t>потреб ПАТ «Центренерго» та на підставі нормативно технічної документації у сфері телекомунікаційних мереж.</w:t>
      </w:r>
    </w:p>
    <w:p w14:paraId="0C4F404F" w14:textId="45118D0A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D8157A">
        <w:rPr>
          <w:rFonts w:ascii="Times New Roman" w:hAnsi="Times New Roman" w:cs="Times New Roman"/>
          <w:bCs/>
          <w:sz w:val="24"/>
          <w:szCs w:val="24"/>
        </w:rPr>
        <w:t>відповідно до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примірної методики визначення очікуваної вартості предмета закупівлі</w:t>
      </w:r>
      <w:r w:rsidR="00D8157A">
        <w:rPr>
          <w:rFonts w:ascii="Times New Roman" w:hAnsi="Times New Roman" w:cs="Times New Roman"/>
          <w:bCs/>
          <w:sz w:val="24"/>
          <w:szCs w:val="24"/>
        </w:rPr>
        <w:t>,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затвердженої центральним органом виконавчої влади.</w:t>
      </w:r>
    </w:p>
    <w:p w14:paraId="000B4E94" w14:textId="3E6D3B66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D2331F" w14:textId="77777777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9A8F3" w14:textId="6A7C608F" w:rsidR="001B2159" w:rsidRPr="00016D55" w:rsidRDefault="001B2159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2159" w:rsidRPr="0001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811E1"/>
    <w:rsid w:val="001872EB"/>
    <w:rsid w:val="001B2159"/>
    <w:rsid w:val="00210FC8"/>
    <w:rsid w:val="00211178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D4C14"/>
    <w:rsid w:val="005225FE"/>
    <w:rsid w:val="00522C21"/>
    <w:rsid w:val="00524BC8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42610"/>
    <w:rsid w:val="00662A99"/>
    <w:rsid w:val="006B2921"/>
    <w:rsid w:val="006B3346"/>
    <w:rsid w:val="007112BB"/>
    <w:rsid w:val="007436B2"/>
    <w:rsid w:val="0077464D"/>
    <w:rsid w:val="007A53AB"/>
    <w:rsid w:val="007B1414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B64A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E562A"/>
    <w:rsid w:val="00BF4CCA"/>
    <w:rsid w:val="00C14B13"/>
    <w:rsid w:val="00C32E19"/>
    <w:rsid w:val="00C37447"/>
    <w:rsid w:val="00C70E3D"/>
    <w:rsid w:val="00CA634C"/>
    <w:rsid w:val="00D70034"/>
    <w:rsid w:val="00D8157A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40BC2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6-02-24-003107-a" TargetMode="External"/><Relationship Id="rId5" Type="http://schemas.openxmlformats.org/officeDocument/2006/relationships/hyperlink" Target="https://prozorro.gov.ua/uk/tender/UA-2026-02-23-001909-a" TargetMode="External"/><Relationship Id="rId4" Type="http://schemas.openxmlformats.org/officeDocument/2006/relationships/hyperlink" Target="https://prozorro.gov.ua/uk/tender/UA-2025-09-26-0025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2026-02-24T09:23:00Z</dcterms:created>
  <dcterms:modified xsi:type="dcterms:W3CDTF">2026-02-24T09:23:00Z</dcterms:modified>
</cp:coreProperties>
</file>